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AE2E" w14:textId="77777777" w:rsidR="001D0CB2" w:rsidRDefault="00E27FE2">
      <w:pPr>
        <w:pStyle w:val="Titel"/>
      </w:pPr>
      <w:bookmarkStart w:id="0" w:name="_GoBack"/>
      <w:bookmarkEnd w:id="0"/>
      <w:r>
        <w:t>Arbeitshilfe zur Pseudonymisierung/Anonymisierung</w:t>
      </w:r>
    </w:p>
    <w:p w14:paraId="43CEC3B2" w14:textId="77777777" w:rsidR="001D0CB2" w:rsidRDefault="001D0CB2"/>
    <w:p w14:paraId="6E366B36" w14:textId="77777777" w:rsidR="001D0CB2" w:rsidRDefault="00E27FE2">
      <w:pPr>
        <w:rPr>
          <w:rFonts w:cs="Arial"/>
          <w:sz w:val="24"/>
          <w:szCs w:val="28"/>
        </w:rPr>
      </w:pPr>
      <w:r>
        <w:rPr>
          <w:rFonts w:cs="Arial"/>
          <w:sz w:val="24"/>
          <w:szCs w:val="28"/>
        </w:rPr>
        <w:t>Arbeitsgruppe Datenschutz</w:t>
      </w:r>
    </w:p>
    <w:p w14:paraId="38BBF7DF" w14:textId="77777777" w:rsidR="001D0CB2" w:rsidRDefault="001D0CB2">
      <w:pPr>
        <w:rPr>
          <w:rFonts w:cs="Arial"/>
          <w:sz w:val="24"/>
          <w:szCs w:val="28"/>
        </w:rPr>
      </w:pPr>
    </w:p>
    <w:p w14:paraId="1E20E63A" w14:textId="77777777" w:rsidR="001D0CB2" w:rsidRDefault="00E27FE2">
      <w:pPr>
        <w:rPr>
          <w:rFonts w:cs="Arial"/>
          <w:sz w:val="24"/>
          <w:szCs w:val="28"/>
        </w:rPr>
      </w:pPr>
      <w:r>
        <w:rPr>
          <w:noProof/>
          <w:lang w:eastAsia="de-DE"/>
        </w:rPr>
        <w:drawing>
          <wp:anchor distT="0" distB="0" distL="114300" distR="114300" simplePos="0" relativeHeight="251659264" behindDoc="1" locked="0" layoutInCell="1" allowOverlap="1" wp14:anchorId="7B4A015A" wp14:editId="6122D600">
            <wp:simplePos x="0" y="0"/>
            <wp:positionH relativeFrom="column">
              <wp:posOffset>3957955</wp:posOffset>
            </wp:positionH>
            <wp:positionV relativeFrom="paragraph">
              <wp:posOffset>235585</wp:posOffset>
            </wp:positionV>
            <wp:extent cx="1990725" cy="657225"/>
            <wp:effectExtent l="0" t="0" r="9525" b="9525"/>
            <wp:wrapTight wrapText="bothSides">
              <wp:wrapPolygon edited="0">
                <wp:start x="0" y="0"/>
                <wp:lineTo x="0" y="21287"/>
                <wp:lineTo x="21497" y="21287"/>
                <wp:lineTo x="2149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657225"/>
                    </a:xfrm>
                    <a:prstGeom prst="rect">
                      <a:avLst/>
                    </a:prstGeom>
                    <a:noFill/>
                    <a:ln>
                      <a:noFill/>
                    </a:ln>
                  </pic:spPr>
                </pic:pic>
              </a:graphicData>
            </a:graphic>
          </wp:anchor>
        </w:drawing>
      </w:r>
    </w:p>
    <w:p w14:paraId="6F2D0C18" w14:textId="77777777" w:rsidR="001D0CB2" w:rsidRDefault="00E27FE2">
      <w:pPr>
        <w:spacing w:after="0"/>
        <w:jc w:val="left"/>
        <w:rPr>
          <w:rFonts w:cs="Arial"/>
          <w:sz w:val="24"/>
          <w:szCs w:val="28"/>
        </w:rPr>
      </w:pPr>
      <w:r>
        <w:rPr>
          <w:rFonts w:cs="Arial"/>
          <w:sz w:val="24"/>
          <w:szCs w:val="28"/>
        </w:rPr>
        <w:t xml:space="preserve">Deutsche Gesellschaft für </w:t>
      </w:r>
      <w:r w:rsidRPr="00F215B1">
        <w:rPr>
          <w:rFonts w:cs="Arial"/>
          <w:sz w:val="24"/>
          <w:szCs w:val="28"/>
        </w:rPr>
        <w:t>Medizinische</w:t>
      </w:r>
      <w:r>
        <w:rPr>
          <w:rFonts w:cs="Arial"/>
          <w:sz w:val="24"/>
          <w:szCs w:val="28"/>
        </w:rPr>
        <w:t xml:space="preserve"> Informatik, Biometrie und Epidemiologie e. V. (</w:t>
      </w:r>
      <w:r w:rsidRPr="006C6D59">
        <w:rPr>
          <w:rFonts w:cs="Arial"/>
          <w:sz w:val="24"/>
          <w:szCs w:val="28"/>
        </w:rPr>
        <w:t>GMDS</w:t>
      </w:r>
      <w:r>
        <w:rPr>
          <w:rFonts w:cs="Arial"/>
          <w:sz w:val="24"/>
          <w:szCs w:val="28"/>
        </w:rPr>
        <w:t>)</w:t>
      </w:r>
    </w:p>
    <w:p w14:paraId="2E35EA6F" w14:textId="77777777" w:rsidR="001D0CB2" w:rsidRDefault="00E27FE2">
      <w:pPr>
        <w:jc w:val="left"/>
        <w:rPr>
          <w:rFonts w:cs="Arial"/>
          <w:sz w:val="24"/>
          <w:szCs w:val="28"/>
        </w:rPr>
      </w:pPr>
      <w:r>
        <w:rPr>
          <w:rFonts w:cs="Arial"/>
          <w:sz w:val="24"/>
          <w:szCs w:val="28"/>
        </w:rPr>
        <w:t>Arbeitsgruppe „Datenschutz und IT-Sicherheit im Gesundheitswesen“</w:t>
      </w:r>
    </w:p>
    <w:p w14:paraId="656F6596" w14:textId="77777777" w:rsidR="001D0CB2" w:rsidRDefault="001D0CB2">
      <w:pPr>
        <w:rPr>
          <w:rFonts w:cs="Arial"/>
          <w:sz w:val="24"/>
          <w:szCs w:val="28"/>
        </w:rPr>
      </w:pPr>
    </w:p>
    <w:p w14:paraId="7D990D58" w14:textId="77777777" w:rsidR="001D0CB2" w:rsidRDefault="00E27FE2">
      <w:pPr>
        <w:rPr>
          <w:b/>
        </w:rPr>
      </w:pPr>
      <w:r>
        <w:rPr>
          <w:b/>
        </w:rPr>
        <w:t>Autoren (alphabetisch)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1D0CB2" w14:paraId="184C23E8" w14:textId="77777777">
        <w:tc>
          <w:tcPr>
            <w:tcW w:w="2518" w:type="dxa"/>
          </w:tcPr>
          <w:p w14:paraId="73A1F1B6" w14:textId="77777777" w:rsidR="001D0CB2" w:rsidRDefault="00E27FE2">
            <w:pPr>
              <w:rPr>
                <w:rFonts w:ascii="Tele-GroteskNor" w:hAnsi="Tele-GroteskNor"/>
              </w:rPr>
            </w:pPr>
            <w:r>
              <w:rPr>
                <w:rFonts w:ascii="Tele-GroteskNor" w:hAnsi="Tele-GroteskNor"/>
              </w:rPr>
              <w:t xml:space="preserve">Sonja </w:t>
            </w:r>
            <w:r w:rsidRPr="00F215B1">
              <w:rPr>
                <w:rFonts w:ascii="Tele-GroteskNor" w:hAnsi="Tele-GroteskNor"/>
              </w:rPr>
              <w:t>Holst</w:t>
            </w:r>
          </w:p>
        </w:tc>
        <w:tc>
          <w:tcPr>
            <w:tcW w:w="6694" w:type="dxa"/>
          </w:tcPr>
          <w:p w14:paraId="26C2BFFD" w14:textId="77777777" w:rsidR="001D0CB2" w:rsidRDefault="00E27FE2">
            <w:pPr>
              <w:rPr>
                <w:rFonts w:ascii="Tele-GroteskNor" w:hAnsi="Tele-GroteskNor"/>
              </w:rPr>
            </w:pPr>
            <w:r>
              <w:rPr>
                <w:rFonts w:ascii="Tele-GroteskNor" w:hAnsi="Tele-GroteskNor"/>
              </w:rPr>
              <w:t>Charité - Universitätsmedizin Berlin</w:t>
            </w:r>
          </w:p>
        </w:tc>
      </w:tr>
      <w:tr w:rsidR="001D0CB2" w:rsidRPr="00E27FE2" w14:paraId="40DC15A5" w14:textId="77777777">
        <w:tc>
          <w:tcPr>
            <w:tcW w:w="2518" w:type="dxa"/>
          </w:tcPr>
          <w:p w14:paraId="3C0A2A56" w14:textId="77777777" w:rsidR="001D0CB2" w:rsidRDefault="00E27FE2">
            <w:pPr>
              <w:rPr>
                <w:rFonts w:ascii="Tele-GroteskNor" w:hAnsi="Tele-GroteskNor"/>
              </w:rPr>
            </w:pPr>
            <w:r>
              <w:rPr>
                <w:rFonts w:ascii="Tele-GroteskNor" w:hAnsi="Tele-GroteskNor"/>
              </w:rPr>
              <w:t>Bernd Schütze</w:t>
            </w:r>
          </w:p>
        </w:tc>
        <w:tc>
          <w:tcPr>
            <w:tcW w:w="6694" w:type="dxa"/>
          </w:tcPr>
          <w:p w14:paraId="6D0701C7" w14:textId="77777777" w:rsidR="001D0CB2" w:rsidRPr="00D55911" w:rsidRDefault="00E27FE2">
            <w:pPr>
              <w:rPr>
                <w:rFonts w:ascii="Tele-GroteskNor" w:hAnsi="Tele-GroteskNor"/>
              </w:rPr>
            </w:pPr>
            <w:r w:rsidRPr="00D55911">
              <w:rPr>
                <w:rFonts w:ascii="Tele-GroteskNor" w:hAnsi="Tele-GroteskNor"/>
              </w:rPr>
              <w:t xml:space="preserve">Deutsche Telekom </w:t>
            </w:r>
            <w:r w:rsidRPr="006C6D59">
              <w:rPr>
                <w:rFonts w:ascii="Tele-GroteskNor" w:hAnsi="Tele-GroteskNor"/>
              </w:rPr>
              <w:t>Healthcare</w:t>
            </w:r>
            <w:r w:rsidRPr="00D55911">
              <w:rPr>
                <w:rFonts w:ascii="Tele-GroteskNor" w:hAnsi="Tele-GroteskNor"/>
              </w:rPr>
              <w:t xml:space="preserve"> </w:t>
            </w:r>
            <w:proofErr w:type="spellStart"/>
            <w:r w:rsidRPr="006C6D59">
              <w:rPr>
                <w:rFonts w:ascii="Tele-GroteskNor" w:hAnsi="Tele-GroteskNor"/>
              </w:rPr>
              <w:t>and</w:t>
            </w:r>
            <w:proofErr w:type="spellEnd"/>
            <w:r w:rsidRPr="00D55911">
              <w:rPr>
                <w:rFonts w:ascii="Tele-GroteskNor" w:hAnsi="Tele-GroteskNor"/>
              </w:rPr>
              <w:t xml:space="preserve"> Security GmbH</w:t>
            </w:r>
          </w:p>
        </w:tc>
      </w:tr>
      <w:tr w:rsidR="001D0CB2" w14:paraId="23F71EE9" w14:textId="77777777">
        <w:tc>
          <w:tcPr>
            <w:tcW w:w="2518" w:type="dxa"/>
          </w:tcPr>
          <w:p w14:paraId="56373993" w14:textId="77777777" w:rsidR="001D0CB2" w:rsidRDefault="00E27FE2">
            <w:pPr>
              <w:rPr>
                <w:rFonts w:ascii="Tele-GroteskNor" w:hAnsi="Tele-GroteskNor"/>
              </w:rPr>
            </w:pPr>
            <w:r>
              <w:rPr>
                <w:rFonts w:ascii="Tele-GroteskNor" w:hAnsi="Tele-GroteskNor"/>
              </w:rPr>
              <w:t xml:space="preserve">Gerald </w:t>
            </w:r>
            <w:r w:rsidRPr="00F215B1">
              <w:rPr>
                <w:rFonts w:ascii="Tele-GroteskNor" w:hAnsi="Tele-GroteskNor"/>
              </w:rPr>
              <w:t>Spyra</w:t>
            </w:r>
          </w:p>
        </w:tc>
        <w:tc>
          <w:tcPr>
            <w:tcW w:w="6694" w:type="dxa"/>
          </w:tcPr>
          <w:p w14:paraId="1FA8A60E" w14:textId="77777777" w:rsidR="001D0CB2" w:rsidRDefault="00E27FE2">
            <w:pPr>
              <w:rPr>
                <w:rFonts w:ascii="Tele-GroteskNor" w:hAnsi="Tele-GroteskNor"/>
              </w:rPr>
            </w:pPr>
            <w:r w:rsidRPr="00F215B1">
              <w:rPr>
                <w:rFonts w:ascii="Tele-GroteskNor" w:hAnsi="Tele-GroteskNor"/>
              </w:rPr>
              <w:t>Ratajczak</w:t>
            </w:r>
            <w:r>
              <w:rPr>
                <w:rFonts w:ascii="Tele-GroteskNor" w:hAnsi="Tele-GroteskNor"/>
              </w:rPr>
              <w:t xml:space="preserve"> und Partner </w:t>
            </w:r>
            <w:proofErr w:type="spellStart"/>
            <w:r w:rsidRPr="00F215B1">
              <w:rPr>
                <w:rFonts w:ascii="Tele-GroteskNor" w:hAnsi="Tele-GroteskNor"/>
              </w:rPr>
              <w:t>mbB</w:t>
            </w:r>
            <w:proofErr w:type="spellEnd"/>
            <w:r>
              <w:rPr>
                <w:rFonts w:ascii="Tele-GroteskNor" w:hAnsi="Tele-GroteskNor"/>
              </w:rPr>
              <w:t xml:space="preserve"> Rechtsanwälte</w:t>
            </w:r>
          </w:p>
        </w:tc>
      </w:tr>
    </w:tbl>
    <w:p w14:paraId="5A69907B" w14:textId="77777777" w:rsidR="001D0CB2" w:rsidRDefault="001D0CB2"/>
    <w:p w14:paraId="1ED8B599" w14:textId="3072DA9D" w:rsidR="001D0CB2" w:rsidRDefault="00E27FE2">
      <w:pPr>
        <w:rPr>
          <w:rFonts w:cs="Arial"/>
          <w:sz w:val="24"/>
          <w:szCs w:val="28"/>
        </w:rPr>
      </w:pPr>
      <w:r>
        <w:t xml:space="preserve">Stand: </w:t>
      </w:r>
      <w:r w:rsidR="00072F0D">
        <w:t>29</w:t>
      </w:r>
      <w:r w:rsidRPr="00F215B1">
        <w:t>.</w:t>
      </w:r>
      <w:r w:rsidR="00072F0D">
        <w:t xml:space="preserve"> Juni </w:t>
      </w:r>
      <w:r w:rsidRPr="00F215B1">
        <w:t>2018</w:t>
      </w:r>
    </w:p>
    <w:p w14:paraId="7ABB6C2B" w14:textId="77777777" w:rsidR="001D0CB2" w:rsidRDefault="001D0CB2"/>
    <w:p w14:paraId="0331B9AB" w14:textId="77777777" w:rsidR="001D0CB2" w:rsidRDefault="00E27FE2">
      <w:pPr>
        <w:jc w:val="left"/>
      </w:pPr>
      <w:r>
        <w:br w:type="page"/>
      </w:r>
    </w:p>
    <w:p w14:paraId="25AC74F8" w14:textId="77777777" w:rsidR="001D0CB2" w:rsidRDefault="00E27FE2">
      <w:pPr>
        <w:pStyle w:val="Untertitel"/>
      </w:pPr>
      <w:bookmarkStart w:id="1" w:name="_Toc384031309"/>
      <w:bookmarkStart w:id="2" w:name="_Toc466177206"/>
      <w:bookmarkStart w:id="3" w:name="_Toc466177268"/>
      <w:bookmarkStart w:id="4" w:name="_Toc467402030"/>
      <w:bookmarkStart w:id="5" w:name="_Toc470630151"/>
      <w:bookmarkStart w:id="6" w:name="_Toc470630228"/>
      <w:bookmarkStart w:id="7" w:name="_Toc472062746"/>
      <w:bookmarkStart w:id="8" w:name="_Toc472062819"/>
      <w:bookmarkStart w:id="9" w:name="_Toc472700194"/>
      <w:bookmarkStart w:id="10" w:name="_Toc472750820"/>
      <w:bookmarkStart w:id="11" w:name="_Toc472754490"/>
      <w:bookmarkStart w:id="12" w:name="_Toc472846406"/>
      <w:bookmarkStart w:id="13" w:name="_Toc473233932"/>
      <w:bookmarkStart w:id="14" w:name="_Toc474484946"/>
      <w:bookmarkStart w:id="15" w:name="_Toc474485678"/>
      <w:bookmarkStart w:id="16" w:name="_Toc474495489"/>
      <w:bookmarkStart w:id="17" w:name="_Toc476302738"/>
      <w:bookmarkStart w:id="18" w:name="_Toc478037173"/>
      <w:bookmarkStart w:id="19" w:name="_Toc478037313"/>
      <w:bookmarkStart w:id="20" w:name="_Toc478204418"/>
      <w:bookmarkStart w:id="21" w:name="_Toc478725842"/>
      <w:bookmarkStart w:id="22" w:name="_Toc481399823"/>
      <w:bookmarkStart w:id="23" w:name="_Toc481838553"/>
      <w:bookmarkStart w:id="24" w:name="_Toc484343753"/>
      <w:bookmarkStart w:id="25" w:name="_Toc486696416"/>
      <w:bookmarkStart w:id="26" w:name="_Toc488390183"/>
      <w:bookmarkStart w:id="27" w:name="_Toc488391371"/>
      <w:bookmarkStart w:id="28" w:name="_Toc492202025"/>
      <w:bookmarkStart w:id="29" w:name="_Toc492282807"/>
      <w:r>
        <w:lastRenderedPageBreak/>
        <w:t>Haftungsausschluss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4100923" w14:textId="77777777" w:rsidR="001D0CB2" w:rsidRDefault="00E27FE2">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563B79A7" w14:textId="77777777" w:rsidR="001D0CB2" w:rsidRDefault="00E27FE2">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42B6D1C3" w14:textId="77777777" w:rsidR="001D0CB2" w:rsidRDefault="00E27FE2">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7A99F45D" w14:textId="77777777" w:rsidR="001D0CB2" w:rsidRDefault="00E27FE2">
      <w:pPr>
        <w:pStyle w:val="Untertitel"/>
      </w:pPr>
      <w:bookmarkStart w:id="30" w:name="_Toc400089231"/>
      <w:bookmarkStart w:id="31" w:name="_Toc466177207"/>
      <w:bookmarkStart w:id="32" w:name="_Toc466177269"/>
      <w:bookmarkStart w:id="33" w:name="_Toc467402031"/>
      <w:bookmarkStart w:id="34" w:name="_Toc470630152"/>
      <w:bookmarkStart w:id="35" w:name="_Toc470630229"/>
      <w:bookmarkStart w:id="36" w:name="_Toc472062747"/>
      <w:bookmarkStart w:id="37" w:name="_Toc472062820"/>
      <w:bookmarkStart w:id="38" w:name="_Toc472700195"/>
      <w:bookmarkStart w:id="39" w:name="_Toc472750821"/>
      <w:bookmarkStart w:id="40" w:name="_Toc472754491"/>
      <w:bookmarkStart w:id="41" w:name="_Toc472846407"/>
      <w:bookmarkStart w:id="42" w:name="_Toc473233933"/>
      <w:bookmarkStart w:id="43" w:name="_Toc474484947"/>
      <w:bookmarkStart w:id="44" w:name="_Toc474485679"/>
      <w:bookmarkStart w:id="45" w:name="_Toc474495490"/>
      <w:bookmarkStart w:id="46" w:name="_Toc476302739"/>
      <w:bookmarkStart w:id="47" w:name="_Toc478037174"/>
      <w:bookmarkStart w:id="48" w:name="_Toc478037314"/>
      <w:bookmarkStart w:id="49" w:name="_Toc478204419"/>
      <w:bookmarkStart w:id="50" w:name="_Toc478725843"/>
      <w:bookmarkStart w:id="51" w:name="_Toc481399824"/>
      <w:bookmarkStart w:id="52" w:name="_Toc481838554"/>
      <w:bookmarkStart w:id="53" w:name="_Toc484343754"/>
      <w:bookmarkStart w:id="54" w:name="_Toc486696417"/>
      <w:bookmarkStart w:id="55" w:name="_Toc488390184"/>
      <w:bookmarkStart w:id="56" w:name="_Toc488391372"/>
      <w:bookmarkStart w:id="57" w:name="_Toc492202026"/>
      <w:bookmarkStart w:id="58" w:name="_Toc492282808"/>
      <w:r>
        <w:t>Copyright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F407B68" w14:textId="77777777" w:rsidR="001D0CB2" w:rsidRDefault="00E27FE2">
      <w:pPr>
        <w:rPr>
          <w:rFonts w:cs="Arial"/>
          <w:sz w:val="21"/>
          <w:szCs w:val="21"/>
        </w:rPr>
      </w:pPr>
      <w:r>
        <w:rPr>
          <w:rFonts w:cs="Arial"/>
          <w:sz w:val="21"/>
          <w:szCs w:val="21"/>
        </w:rPr>
        <w:t>Für in diesem Dokument veröffentlichte, von den Autoren selbst erstellte Objekte gilt hinsichtlich des Copyrights die folgende Regelung:</w:t>
      </w:r>
    </w:p>
    <w:p w14:paraId="67CB4D13" w14:textId="77777777" w:rsidR="001D0CB2" w:rsidRDefault="00E27FE2">
      <w:pPr>
        <w:spacing w:after="0"/>
        <w:rPr>
          <w:rFonts w:cs="Arial"/>
          <w:sz w:val="21"/>
          <w:szCs w:val="21"/>
        </w:rPr>
      </w:pPr>
      <w:r>
        <w:rPr>
          <w:noProof/>
          <w:sz w:val="21"/>
          <w:szCs w:val="21"/>
          <w:lang w:eastAsia="de-DE"/>
        </w:rPr>
        <w:drawing>
          <wp:anchor distT="0" distB="0" distL="114300" distR="114300" simplePos="0" relativeHeight="251661312" behindDoc="0" locked="0" layoutInCell="1" allowOverlap="1" wp14:anchorId="1078A508" wp14:editId="7F5FCE03">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 xml:space="preserve">Dieses Werk ist unter einer </w:t>
      </w:r>
      <w:r w:rsidRPr="00F215B1">
        <w:rPr>
          <w:rFonts w:cs="Arial"/>
          <w:sz w:val="21"/>
          <w:szCs w:val="21"/>
        </w:rPr>
        <w:t>Creative</w:t>
      </w:r>
      <w:r>
        <w:rPr>
          <w:rFonts w:cs="Arial"/>
          <w:sz w:val="21"/>
          <w:szCs w:val="21"/>
        </w:rPr>
        <w:t xml:space="preserve"> Commons-Lizenz (4.0 Deutschland Lizenzvertrag) lizenziert.</w:t>
      </w:r>
      <w:r>
        <w:rPr>
          <w:noProof/>
          <w:sz w:val="21"/>
          <w:szCs w:val="21"/>
          <w:lang w:eastAsia="de-DE"/>
        </w:rPr>
        <w:t xml:space="preserve"> </w:t>
      </w:r>
      <w:r>
        <w:rPr>
          <w:rFonts w:cs="Arial"/>
          <w:sz w:val="21"/>
          <w:szCs w:val="21"/>
        </w:rPr>
        <w:t>D. h. Sie dürfen:</w:t>
      </w:r>
    </w:p>
    <w:p w14:paraId="7D58BB53" w14:textId="77777777" w:rsidR="001D0CB2" w:rsidRDefault="00E27FE2">
      <w:pPr>
        <w:pStyle w:val="Listenabsatz"/>
        <w:numPr>
          <w:ilvl w:val="0"/>
          <w:numId w:val="16"/>
        </w:numPr>
        <w:spacing w:after="0"/>
        <w:ind w:left="714" w:hanging="357"/>
        <w:rPr>
          <w:rFonts w:cs="Arial"/>
          <w:sz w:val="21"/>
          <w:szCs w:val="21"/>
        </w:rPr>
      </w:pPr>
      <w:r>
        <w:rPr>
          <w:rFonts w:cs="Arial"/>
          <w:sz w:val="21"/>
          <w:szCs w:val="21"/>
        </w:rPr>
        <w:t xml:space="preserve">Teilen: Das Material in jedwedem Format oder Medium vervielfältigen und </w:t>
      </w:r>
      <w:r w:rsidRPr="00F215B1">
        <w:rPr>
          <w:rFonts w:cs="Arial"/>
          <w:sz w:val="21"/>
          <w:szCs w:val="21"/>
        </w:rPr>
        <w:t>weiterverbreiten</w:t>
      </w:r>
    </w:p>
    <w:p w14:paraId="50174ECB" w14:textId="77777777" w:rsidR="001D0CB2" w:rsidRDefault="00E27FE2">
      <w:pPr>
        <w:pStyle w:val="Listenabsatz"/>
        <w:numPr>
          <w:ilvl w:val="0"/>
          <w:numId w:val="16"/>
        </w:numPr>
        <w:spacing w:after="0"/>
        <w:ind w:left="714" w:hanging="357"/>
        <w:rPr>
          <w:rFonts w:cs="Arial"/>
          <w:sz w:val="21"/>
          <w:szCs w:val="21"/>
        </w:rPr>
      </w:pPr>
      <w:r>
        <w:rPr>
          <w:rFonts w:cs="Arial"/>
          <w:sz w:val="21"/>
          <w:szCs w:val="21"/>
        </w:rPr>
        <w:t xml:space="preserve">Bearbeiten: Das Material </w:t>
      </w:r>
      <w:proofErr w:type="spellStart"/>
      <w:r>
        <w:rPr>
          <w:rFonts w:cs="Arial"/>
          <w:sz w:val="21"/>
          <w:szCs w:val="21"/>
        </w:rPr>
        <w:t>remixen</w:t>
      </w:r>
      <w:proofErr w:type="spellEnd"/>
      <w:r>
        <w:rPr>
          <w:rFonts w:cs="Arial"/>
          <w:sz w:val="21"/>
          <w:szCs w:val="21"/>
        </w:rPr>
        <w:t xml:space="preserve">, verändern und darauf </w:t>
      </w:r>
      <w:r w:rsidRPr="00F215B1">
        <w:rPr>
          <w:rFonts w:cs="Arial"/>
          <w:sz w:val="21"/>
          <w:szCs w:val="21"/>
        </w:rPr>
        <w:t>aufbauen</w:t>
      </w:r>
    </w:p>
    <w:p w14:paraId="2936B477" w14:textId="77777777" w:rsidR="001D0CB2" w:rsidRDefault="00E27FE2">
      <w:pPr>
        <w:rPr>
          <w:rFonts w:cs="Arial"/>
          <w:sz w:val="21"/>
          <w:szCs w:val="21"/>
        </w:rPr>
      </w:pPr>
      <w:r w:rsidRPr="00F215B1">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14:paraId="32B5F03B" w14:textId="77777777" w:rsidR="001D0CB2" w:rsidRDefault="00E27FE2">
      <w:pPr>
        <w:spacing w:after="0"/>
        <w:rPr>
          <w:rFonts w:cs="Arial"/>
          <w:sz w:val="21"/>
          <w:szCs w:val="21"/>
        </w:rPr>
      </w:pPr>
      <w:r>
        <w:rPr>
          <w:rFonts w:cs="Arial"/>
          <w:sz w:val="21"/>
          <w:szCs w:val="21"/>
        </w:rPr>
        <w:t>Die Nutzung ist unter den folgenden Bedingungen möglich:</w:t>
      </w:r>
    </w:p>
    <w:p w14:paraId="08CDC75A" w14:textId="77777777" w:rsidR="001D0CB2" w:rsidRDefault="00E27FE2">
      <w:pPr>
        <w:pStyle w:val="Listenabsatz"/>
        <w:numPr>
          <w:ilvl w:val="0"/>
          <w:numId w:val="16"/>
        </w:numPr>
        <w:spacing w:after="0"/>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596578D9" w14:textId="77777777" w:rsidR="001D0CB2" w:rsidRDefault="00E27FE2">
      <w:pPr>
        <w:pStyle w:val="Listenabsatz"/>
        <w:numPr>
          <w:ilvl w:val="0"/>
          <w:numId w:val="16"/>
        </w:numPr>
        <w:spacing w:after="0"/>
        <w:rPr>
          <w:rFonts w:cs="Arial"/>
          <w:sz w:val="21"/>
          <w:szCs w:val="21"/>
        </w:rPr>
      </w:pPr>
      <w:r>
        <w:rPr>
          <w:rFonts w:cs="Arial"/>
          <w:sz w:val="21"/>
          <w:szCs w:val="21"/>
        </w:rPr>
        <w:t xml:space="preserve">Weitergabe unter gleichen Bedingungen: Wenn Sie das Material </w:t>
      </w:r>
      <w:proofErr w:type="spellStart"/>
      <w:r>
        <w:rPr>
          <w:rFonts w:cs="Arial"/>
          <w:sz w:val="21"/>
          <w:szCs w:val="21"/>
        </w:rPr>
        <w:t>remixen</w:t>
      </w:r>
      <w:proofErr w:type="spellEnd"/>
      <w:r>
        <w:rPr>
          <w:rFonts w:cs="Arial"/>
          <w:sz w:val="21"/>
          <w:szCs w:val="21"/>
        </w:rPr>
        <w:t>, verändern oder anderweitig direkt darauf aufbauen, dürfen Sie Ihre Beiträge nur unter derselben Lizenz wie das Original verbreiten.</w:t>
      </w:r>
    </w:p>
    <w:p w14:paraId="24D9FCAB" w14:textId="77777777" w:rsidR="001D0CB2" w:rsidRDefault="00E27FE2">
      <w:pPr>
        <w:pStyle w:val="Listenabsatz"/>
        <w:numPr>
          <w:ilvl w:val="0"/>
          <w:numId w:val="16"/>
        </w:numPr>
        <w:spacing w:after="80"/>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59BEEBCF" w14:textId="77777777" w:rsidR="001D0CB2" w:rsidRDefault="00E27FE2">
      <w:pPr>
        <w:spacing w:after="0"/>
        <w:rPr>
          <w:rFonts w:cs="Arial"/>
          <w:sz w:val="21"/>
          <w:szCs w:val="21"/>
        </w:rPr>
      </w:pPr>
      <w:r>
        <w:rPr>
          <w:rFonts w:cs="Arial"/>
          <w:sz w:val="21"/>
          <w:szCs w:val="21"/>
        </w:rPr>
        <w:t>Im Weiteren gilt:</w:t>
      </w:r>
    </w:p>
    <w:p w14:paraId="0C694D2D" w14:textId="77777777" w:rsidR="001D0CB2" w:rsidRDefault="00E27FE2">
      <w:pPr>
        <w:pStyle w:val="Listenabsatz"/>
        <w:numPr>
          <w:ilvl w:val="0"/>
          <w:numId w:val="16"/>
        </w:numPr>
        <w:spacing w:after="0"/>
        <w:ind w:left="714" w:hanging="357"/>
        <w:rPr>
          <w:rFonts w:cs="Arial"/>
          <w:sz w:val="21"/>
          <w:szCs w:val="21"/>
        </w:rPr>
      </w:pPr>
      <w:r>
        <w:rPr>
          <w:rFonts w:cs="Arial"/>
          <w:sz w:val="21"/>
          <w:szCs w:val="21"/>
        </w:rPr>
        <w:t>Jede der vorgenannten Bedingungen kann aufgehoben werden, sofern Sie die Einwilligung des Rechteinhabers dazu erhalten.</w:t>
      </w:r>
    </w:p>
    <w:p w14:paraId="3EC27D2E" w14:textId="77777777" w:rsidR="001D0CB2" w:rsidRDefault="00E27FE2">
      <w:pPr>
        <w:pStyle w:val="Listenabsatz"/>
        <w:numPr>
          <w:ilvl w:val="0"/>
          <w:numId w:val="16"/>
        </w:numPr>
        <w:spacing w:after="0"/>
        <w:ind w:left="714" w:hanging="357"/>
        <w:rPr>
          <w:rFonts w:cs="Arial"/>
          <w:sz w:val="21"/>
          <w:szCs w:val="21"/>
        </w:rPr>
      </w:pPr>
      <w:r>
        <w:rPr>
          <w:rFonts w:cs="Arial"/>
          <w:sz w:val="21"/>
          <w:szCs w:val="21"/>
        </w:rPr>
        <w:t>Diese Lizenz lässt die Urheberpersönlichkeitsrechte unberührt.</w:t>
      </w:r>
    </w:p>
    <w:p w14:paraId="464932A4" w14:textId="77777777" w:rsidR="001D0CB2" w:rsidRDefault="00E27FE2">
      <w:pPr>
        <w:spacing w:after="0"/>
        <w:rPr>
          <w:rFonts w:cs="Arial"/>
          <w:sz w:val="21"/>
          <w:szCs w:val="21"/>
        </w:rPr>
      </w:pPr>
      <w:r>
        <w:rPr>
          <w:rFonts w:cs="Arial"/>
          <w:sz w:val="21"/>
          <w:szCs w:val="21"/>
        </w:rPr>
        <w:t>Um sich die Lizenz anzusehen, gehen Sie bitte ins Internet auf die Webseite:</w:t>
      </w:r>
    </w:p>
    <w:p w14:paraId="01288AC2" w14:textId="77777777" w:rsidR="001D0CB2" w:rsidRPr="00F215B1" w:rsidRDefault="00E27FE2">
      <w:pPr>
        <w:spacing w:after="0"/>
        <w:jc w:val="center"/>
        <w:rPr>
          <w:rFonts w:cs="Arial"/>
          <w:sz w:val="21"/>
          <w:szCs w:val="21"/>
        </w:rPr>
      </w:pPr>
      <w:r w:rsidRPr="00F215B1">
        <w:rPr>
          <w:rFonts w:cs="Arial"/>
          <w:sz w:val="21"/>
          <w:szCs w:val="21"/>
        </w:rPr>
        <w:t>https://creativecommons.org/licenses/by-sa/4.0/deed.de</w:t>
      </w:r>
    </w:p>
    <w:p w14:paraId="0B5FEB67" w14:textId="77777777" w:rsidR="001D0CB2" w:rsidRDefault="00E27FE2">
      <w:pPr>
        <w:spacing w:after="0"/>
        <w:rPr>
          <w:rFonts w:cs="Arial"/>
          <w:sz w:val="21"/>
          <w:szCs w:val="21"/>
        </w:rPr>
      </w:pPr>
      <w:r w:rsidRPr="00F215B1">
        <w:rPr>
          <w:rFonts w:cs="Arial"/>
          <w:sz w:val="21"/>
          <w:szCs w:val="21"/>
        </w:rPr>
        <w:t>bzw.</w:t>
      </w:r>
      <w:r>
        <w:rPr>
          <w:rFonts w:cs="Arial"/>
          <w:sz w:val="21"/>
          <w:szCs w:val="21"/>
        </w:rPr>
        <w:t xml:space="preserve"> für den vollständigen Lizenztext</w:t>
      </w:r>
    </w:p>
    <w:p w14:paraId="79D6875D" w14:textId="77777777" w:rsidR="001D0CB2" w:rsidRDefault="00E27FE2">
      <w:pPr>
        <w:jc w:val="center"/>
        <w:rPr>
          <w:sz w:val="21"/>
          <w:szCs w:val="21"/>
        </w:rPr>
      </w:pPr>
      <w:r>
        <w:rPr>
          <w:rFonts w:cs="Arial"/>
          <w:sz w:val="21"/>
          <w:szCs w:val="21"/>
        </w:rPr>
        <w:t>https://creativecommons.org/licenses/by-</w:t>
      </w:r>
      <w:r w:rsidRPr="00F215B1">
        <w:rPr>
          <w:rFonts w:cs="Arial"/>
          <w:sz w:val="21"/>
          <w:szCs w:val="21"/>
        </w:rPr>
        <w:t>sa</w:t>
      </w:r>
      <w:r>
        <w:rPr>
          <w:rFonts w:cs="Arial"/>
          <w:sz w:val="21"/>
          <w:szCs w:val="21"/>
        </w:rPr>
        <w:t>/4.0/</w:t>
      </w:r>
      <w:r w:rsidRPr="00F215B1">
        <w:rPr>
          <w:rFonts w:cs="Arial"/>
          <w:sz w:val="21"/>
          <w:szCs w:val="21"/>
        </w:rPr>
        <w:t>legalcode</w:t>
      </w:r>
    </w:p>
    <w:p w14:paraId="3613E1ED" w14:textId="77777777" w:rsidR="001D0CB2" w:rsidRDefault="001D0CB2"/>
    <w:p w14:paraId="33CF08F4" w14:textId="77777777" w:rsidR="001D0CB2" w:rsidRDefault="001D0CB2"/>
    <w:p w14:paraId="289759E6" w14:textId="77777777" w:rsidR="001D0CB2" w:rsidRDefault="001D0CB2">
      <w:pPr>
        <w:sectPr w:rsidR="001D0CB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51609D8D" w14:textId="77777777" w:rsidR="001D0CB2" w:rsidRDefault="00E27FE2">
      <w:pPr>
        <w:pStyle w:val="Untertitel"/>
      </w:pPr>
      <w:bookmarkStart w:id="59" w:name="_Toc512158335"/>
      <w:r>
        <w:lastRenderedPageBreak/>
        <w:t>Inhaltsverzeichnis</w:t>
      </w:r>
      <w:bookmarkEnd w:id="59"/>
    </w:p>
    <w:p w14:paraId="08BFFE1C" w14:textId="77777777" w:rsidR="00271C2A" w:rsidRDefault="00E27FE2">
      <w:pPr>
        <w:pStyle w:val="Verzeichnis1"/>
        <w:tabs>
          <w:tab w:val="right" w:leader="underscore" w:pos="9062"/>
        </w:tabs>
        <w:rPr>
          <w:rFonts w:eastAsiaTheme="minorEastAsia"/>
          <w:b w:val="0"/>
          <w:bCs w:val="0"/>
          <w:iCs w:val="0"/>
          <w:noProof/>
          <w:sz w:val="22"/>
          <w:szCs w:val="22"/>
          <w:lang w:eastAsia="de-DE"/>
        </w:rPr>
      </w:pPr>
      <w:r>
        <w:fldChar w:fldCharType="begin"/>
      </w:r>
      <w:r>
        <w:instrText xml:space="preserve"> TOC \o "1-3" \h \z \u </w:instrText>
      </w:r>
      <w:r>
        <w:fldChar w:fldCharType="separate"/>
      </w:r>
      <w:hyperlink w:anchor="_Toc517507942" w:history="1">
        <w:r w:rsidR="00271C2A" w:rsidRPr="005A36DB">
          <w:rPr>
            <w:rStyle w:val="Hyperlink"/>
            <w:noProof/>
          </w:rPr>
          <w:t>Zusammenfassung</w:t>
        </w:r>
        <w:r w:rsidR="00271C2A">
          <w:rPr>
            <w:noProof/>
            <w:webHidden/>
          </w:rPr>
          <w:tab/>
        </w:r>
        <w:r w:rsidR="00271C2A">
          <w:rPr>
            <w:noProof/>
            <w:webHidden/>
          </w:rPr>
          <w:fldChar w:fldCharType="begin"/>
        </w:r>
        <w:r w:rsidR="00271C2A">
          <w:rPr>
            <w:noProof/>
            <w:webHidden/>
          </w:rPr>
          <w:instrText xml:space="preserve"> PAGEREF _Toc517507942 \h </w:instrText>
        </w:r>
        <w:r w:rsidR="00271C2A">
          <w:rPr>
            <w:noProof/>
            <w:webHidden/>
          </w:rPr>
        </w:r>
        <w:r w:rsidR="00271C2A">
          <w:rPr>
            <w:noProof/>
            <w:webHidden/>
          </w:rPr>
          <w:fldChar w:fldCharType="separate"/>
        </w:r>
        <w:r w:rsidR="00072F0D">
          <w:rPr>
            <w:noProof/>
            <w:webHidden/>
          </w:rPr>
          <w:t>4</w:t>
        </w:r>
        <w:r w:rsidR="00271C2A">
          <w:rPr>
            <w:noProof/>
            <w:webHidden/>
          </w:rPr>
          <w:fldChar w:fldCharType="end"/>
        </w:r>
      </w:hyperlink>
    </w:p>
    <w:p w14:paraId="48841CBD"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43" w:history="1">
        <w:r w:rsidR="00271C2A" w:rsidRPr="005A36DB">
          <w:rPr>
            <w:rStyle w:val="Hyperlink"/>
            <w:noProof/>
          </w:rPr>
          <w:t>1</w:t>
        </w:r>
        <w:r w:rsidR="00271C2A">
          <w:rPr>
            <w:rFonts w:eastAsiaTheme="minorEastAsia"/>
            <w:b w:val="0"/>
            <w:bCs w:val="0"/>
            <w:iCs w:val="0"/>
            <w:noProof/>
            <w:sz w:val="22"/>
            <w:szCs w:val="22"/>
            <w:lang w:eastAsia="de-DE"/>
          </w:rPr>
          <w:tab/>
        </w:r>
        <w:r w:rsidR="00271C2A" w:rsidRPr="005A36DB">
          <w:rPr>
            <w:rStyle w:val="Hyperlink"/>
            <w:noProof/>
          </w:rPr>
          <w:t>Einleitung</w:t>
        </w:r>
        <w:r w:rsidR="00271C2A">
          <w:rPr>
            <w:noProof/>
            <w:webHidden/>
          </w:rPr>
          <w:tab/>
        </w:r>
        <w:r w:rsidR="00271C2A">
          <w:rPr>
            <w:noProof/>
            <w:webHidden/>
          </w:rPr>
          <w:fldChar w:fldCharType="begin"/>
        </w:r>
        <w:r w:rsidR="00271C2A">
          <w:rPr>
            <w:noProof/>
            <w:webHidden/>
          </w:rPr>
          <w:instrText xml:space="preserve"> PAGEREF _Toc517507943 \h </w:instrText>
        </w:r>
        <w:r w:rsidR="00271C2A">
          <w:rPr>
            <w:noProof/>
            <w:webHidden/>
          </w:rPr>
        </w:r>
        <w:r w:rsidR="00271C2A">
          <w:rPr>
            <w:noProof/>
            <w:webHidden/>
          </w:rPr>
          <w:fldChar w:fldCharType="separate"/>
        </w:r>
        <w:r w:rsidR="00072F0D">
          <w:rPr>
            <w:noProof/>
            <w:webHidden/>
          </w:rPr>
          <w:t>5</w:t>
        </w:r>
        <w:r w:rsidR="00271C2A">
          <w:rPr>
            <w:noProof/>
            <w:webHidden/>
          </w:rPr>
          <w:fldChar w:fldCharType="end"/>
        </w:r>
      </w:hyperlink>
    </w:p>
    <w:p w14:paraId="0F4F4AB7"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44" w:history="1">
        <w:r w:rsidR="00271C2A" w:rsidRPr="005A36DB">
          <w:rPr>
            <w:rStyle w:val="Hyperlink"/>
            <w:noProof/>
          </w:rPr>
          <w:t>2</w:t>
        </w:r>
        <w:r w:rsidR="00271C2A">
          <w:rPr>
            <w:rFonts w:eastAsiaTheme="minorEastAsia"/>
            <w:b w:val="0"/>
            <w:bCs w:val="0"/>
            <w:iCs w:val="0"/>
            <w:noProof/>
            <w:sz w:val="22"/>
            <w:szCs w:val="22"/>
            <w:lang w:eastAsia="de-DE"/>
          </w:rPr>
          <w:tab/>
        </w:r>
        <w:r w:rsidR="00271C2A" w:rsidRPr="005A36DB">
          <w:rPr>
            <w:rStyle w:val="Hyperlink"/>
            <w:noProof/>
          </w:rPr>
          <w:t>Abgrenzung / Klarstellung</w:t>
        </w:r>
        <w:r w:rsidR="00271C2A">
          <w:rPr>
            <w:noProof/>
            <w:webHidden/>
          </w:rPr>
          <w:tab/>
        </w:r>
        <w:r w:rsidR="00271C2A">
          <w:rPr>
            <w:noProof/>
            <w:webHidden/>
          </w:rPr>
          <w:fldChar w:fldCharType="begin"/>
        </w:r>
        <w:r w:rsidR="00271C2A">
          <w:rPr>
            <w:noProof/>
            <w:webHidden/>
          </w:rPr>
          <w:instrText xml:space="preserve"> PAGEREF _Toc517507944 \h </w:instrText>
        </w:r>
        <w:r w:rsidR="00271C2A">
          <w:rPr>
            <w:noProof/>
            <w:webHidden/>
          </w:rPr>
        </w:r>
        <w:r w:rsidR="00271C2A">
          <w:rPr>
            <w:noProof/>
            <w:webHidden/>
          </w:rPr>
          <w:fldChar w:fldCharType="separate"/>
        </w:r>
        <w:r w:rsidR="00072F0D">
          <w:rPr>
            <w:noProof/>
            <w:webHidden/>
          </w:rPr>
          <w:t>6</w:t>
        </w:r>
        <w:r w:rsidR="00271C2A">
          <w:rPr>
            <w:noProof/>
            <w:webHidden/>
          </w:rPr>
          <w:fldChar w:fldCharType="end"/>
        </w:r>
      </w:hyperlink>
    </w:p>
    <w:p w14:paraId="6FF20FF7"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45" w:history="1">
        <w:r w:rsidR="00271C2A" w:rsidRPr="005A36DB">
          <w:rPr>
            <w:rStyle w:val="Hyperlink"/>
            <w:noProof/>
          </w:rPr>
          <w:t>3</w:t>
        </w:r>
        <w:r w:rsidR="00271C2A">
          <w:rPr>
            <w:rFonts w:eastAsiaTheme="minorEastAsia"/>
            <w:b w:val="0"/>
            <w:bCs w:val="0"/>
            <w:iCs w:val="0"/>
            <w:noProof/>
            <w:sz w:val="22"/>
            <w:szCs w:val="22"/>
            <w:lang w:eastAsia="de-DE"/>
          </w:rPr>
          <w:tab/>
        </w:r>
        <w:r w:rsidR="00271C2A" w:rsidRPr="005A36DB">
          <w:rPr>
            <w:rStyle w:val="Hyperlink"/>
            <w:noProof/>
          </w:rPr>
          <w:t>Allgemeines</w:t>
        </w:r>
        <w:r w:rsidR="00271C2A">
          <w:rPr>
            <w:noProof/>
            <w:webHidden/>
          </w:rPr>
          <w:tab/>
        </w:r>
        <w:r w:rsidR="00271C2A">
          <w:rPr>
            <w:noProof/>
            <w:webHidden/>
          </w:rPr>
          <w:fldChar w:fldCharType="begin"/>
        </w:r>
        <w:r w:rsidR="00271C2A">
          <w:rPr>
            <w:noProof/>
            <w:webHidden/>
          </w:rPr>
          <w:instrText xml:space="preserve"> PAGEREF _Toc517507945 \h </w:instrText>
        </w:r>
        <w:r w:rsidR="00271C2A">
          <w:rPr>
            <w:noProof/>
            <w:webHidden/>
          </w:rPr>
        </w:r>
        <w:r w:rsidR="00271C2A">
          <w:rPr>
            <w:noProof/>
            <w:webHidden/>
          </w:rPr>
          <w:fldChar w:fldCharType="separate"/>
        </w:r>
        <w:r w:rsidR="00072F0D">
          <w:rPr>
            <w:noProof/>
            <w:webHidden/>
          </w:rPr>
          <w:t>7</w:t>
        </w:r>
        <w:r w:rsidR="00271C2A">
          <w:rPr>
            <w:noProof/>
            <w:webHidden/>
          </w:rPr>
          <w:fldChar w:fldCharType="end"/>
        </w:r>
      </w:hyperlink>
    </w:p>
    <w:p w14:paraId="345B6D7E"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46" w:history="1">
        <w:r w:rsidR="00271C2A" w:rsidRPr="005A36DB">
          <w:rPr>
            <w:rStyle w:val="Hyperlink"/>
            <w:noProof/>
          </w:rPr>
          <w:t>4</w:t>
        </w:r>
        <w:r w:rsidR="00271C2A">
          <w:rPr>
            <w:rFonts w:eastAsiaTheme="minorEastAsia"/>
            <w:b w:val="0"/>
            <w:bCs w:val="0"/>
            <w:iCs w:val="0"/>
            <w:noProof/>
            <w:sz w:val="22"/>
            <w:szCs w:val="22"/>
            <w:lang w:eastAsia="de-DE"/>
          </w:rPr>
          <w:tab/>
        </w:r>
        <w:r w:rsidR="00271C2A" w:rsidRPr="005A36DB">
          <w:rPr>
            <w:rStyle w:val="Hyperlink"/>
            <w:noProof/>
          </w:rPr>
          <w:t>Begriffsbestimmungen</w:t>
        </w:r>
        <w:r w:rsidR="00271C2A">
          <w:rPr>
            <w:noProof/>
            <w:webHidden/>
          </w:rPr>
          <w:tab/>
        </w:r>
        <w:r w:rsidR="00271C2A">
          <w:rPr>
            <w:noProof/>
            <w:webHidden/>
          </w:rPr>
          <w:fldChar w:fldCharType="begin"/>
        </w:r>
        <w:r w:rsidR="00271C2A">
          <w:rPr>
            <w:noProof/>
            <w:webHidden/>
          </w:rPr>
          <w:instrText xml:space="preserve"> PAGEREF _Toc517507946 \h </w:instrText>
        </w:r>
        <w:r w:rsidR="00271C2A">
          <w:rPr>
            <w:noProof/>
            <w:webHidden/>
          </w:rPr>
        </w:r>
        <w:r w:rsidR="00271C2A">
          <w:rPr>
            <w:noProof/>
            <w:webHidden/>
          </w:rPr>
          <w:fldChar w:fldCharType="separate"/>
        </w:r>
        <w:r w:rsidR="00072F0D">
          <w:rPr>
            <w:noProof/>
            <w:webHidden/>
          </w:rPr>
          <w:t>8</w:t>
        </w:r>
        <w:r w:rsidR="00271C2A">
          <w:rPr>
            <w:noProof/>
            <w:webHidden/>
          </w:rPr>
          <w:fldChar w:fldCharType="end"/>
        </w:r>
      </w:hyperlink>
    </w:p>
    <w:p w14:paraId="328450DE"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47" w:history="1">
        <w:r w:rsidR="00271C2A" w:rsidRPr="005A36DB">
          <w:rPr>
            <w:rStyle w:val="Hyperlink"/>
            <w:noProof/>
          </w:rPr>
          <w:t>4.1</w:t>
        </w:r>
        <w:r w:rsidR="00271C2A">
          <w:rPr>
            <w:rFonts w:eastAsiaTheme="minorEastAsia"/>
            <w:b w:val="0"/>
            <w:bCs w:val="0"/>
            <w:noProof/>
            <w:lang w:eastAsia="de-DE"/>
          </w:rPr>
          <w:tab/>
        </w:r>
        <w:r w:rsidR="00271C2A" w:rsidRPr="005A36DB">
          <w:rPr>
            <w:rStyle w:val="Hyperlink"/>
            <w:noProof/>
          </w:rPr>
          <w:t>Personenbezogene Daten</w:t>
        </w:r>
        <w:r w:rsidR="00271C2A">
          <w:rPr>
            <w:noProof/>
            <w:webHidden/>
          </w:rPr>
          <w:tab/>
        </w:r>
        <w:r w:rsidR="00271C2A">
          <w:rPr>
            <w:noProof/>
            <w:webHidden/>
          </w:rPr>
          <w:fldChar w:fldCharType="begin"/>
        </w:r>
        <w:r w:rsidR="00271C2A">
          <w:rPr>
            <w:noProof/>
            <w:webHidden/>
          </w:rPr>
          <w:instrText xml:space="preserve"> PAGEREF _Toc517507947 \h </w:instrText>
        </w:r>
        <w:r w:rsidR="00271C2A">
          <w:rPr>
            <w:noProof/>
            <w:webHidden/>
          </w:rPr>
        </w:r>
        <w:r w:rsidR="00271C2A">
          <w:rPr>
            <w:noProof/>
            <w:webHidden/>
          </w:rPr>
          <w:fldChar w:fldCharType="separate"/>
        </w:r>
        <w:r w:rsidR="00072F0D">
          <w:rPr>
            <w:noProof/>
            <w:webHidden/>
          </w:rPr>
          <w:t>8</w:t>
        </w:r>
        <w:r w:rsidR="00271C2A">
          <w:rPr>
            <w:noProof/>
            <w:webHidden/>
          </w:rPr>
          <w:fldChar w:fldCharType="end"/>
        </w:r>
      </w:hyperlink>
    </w:p>
    <w:p w14:paraId="191F232D"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48" w:history="1">
        <w:r w:rsidR="00271C2A" w:rsidRPr="005A36DB">
          <w:rPr>
            <w:rStyle w:val="Hyperlink"/>
            <w:noProof/>
          </w:rPr>
          <w:t>4.2</w:t>
        </w:r>
        <w:r w:rsidR="00271C2A">
          <w:rPr>
            <w:rFonts w:eastAsiaTheme="minorEastAsia"/>
            <w:b w:val="0"/>
            <w:bCs w:val="0"/>
            <w:noProof/>
            <w:lang w:eastAsia="de-DE"/>
          </w:rPr>
          <w:tab/>
        </w:r>
        <w:r w:rsidR="00271C2A" w:rsidRPr="005A36DB">
          <w:rPr>
            <w:rStyle w:val="Hyperlink"/>
            <w:noProof/>
          </w:rPr>
          <w:t>Pseudonymisierung</w:t>
        </w:r>
        <w:r w:rsidR="00271C2A">
          <w:rPr>
            <w:noProof/>
            <w:webHidden/>
          </w:rPr>
          <w:tab/>
        </w:r>
        <w:r w:rsidR="00271C2A">
          <w:rPr>
            <w:noProof/>
            <w:webHidden/>
          </w:rPr>
          <w:fldChar w:fldCharType="begin"/>
        </w:r>
        <w:r w:rsidR="00271C2A">
          <w:rPr>
            <w:noProof/>
            <w:webHidden/>
          </w:rPr>
          <w:instrText xml:space="preserve"> PAGEREF _Toc517507948 \h </w:instrText>
        </w:r>
        <w:r w:rsidR="00271C2A">
          <w:rPr>
            <w:noProof/>
            <w:webHidden/>
          </w:rPr>
        </w:r>
        <w:r w:rsidR="00271C2A">
          <w:rPr>
            <w:noProof/>
            <w:webHidden/>
          </w:rPr>
          <w:fldChar w:fldCharType="separate"/>
        </w:r>
        <w:r w:rsidR="00072F0D">
          <w:rPr>
            <w:noProof/>
            <w:webHidden/>
          </w:rPr>
          <w:t>8</w:t>
        </w:r>
        <w:r w:rsidR="00271C2A">
          <w:rPr>
            <w:noProof/>
            <w:webHidden/>
          </w:rPr>
          <w:fldChar w:fldCharType="end"/>
        </w:r>
      </w:hyperlink>
    </w:p>
    <w:p w14:paraId="5A95369C"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49" w:history="1">
        <w:r w:rsidR="00271C2A" w:rsidRPr="005A36DB">
          <w:rPr>
            <w:rStyle w:val="Hyperlink"/>
            <w:noProof/>
          </w:rPr>
          <w:t>4.3</w:t>
        </w:r>
        <w:r w:rsidR="00271C2A">
          <w:rPr>
            <w:rFonts w:eastAsiaTheme="minorEastAsia"/>
            <w:b w:val="0"/>
            <w:bCs w:val="0"/>
            <w:noProof/>
            <w:lang w:eastAsia="de-DE"/>
          </w:rPr>
          <w:tab/>
        </w:r>
        <w:r w:rsidR="00271C2A" w:rsidRPr="005A36DB">
          <w:rPr>
            <w:rStyle w:val="Hyperlink"/>
            <w:noProof/>
          </w:rPr>
          <w:t>Pseudonyme Daten</w:t>
        </w:r>
        <w:r w:rsidR="00271C2A">
          <w:rPr>
            <w:noProof/>
            <w:webHidden/>
          </w:rPr>
          <w:tab/>
        </w:r>
        <w:r w:rsidR="00271C2A">
          <w:rPr>
            <w:noProof/>
            <w:webHidden/>
          </w:rPr>
          <w:fldChar w:fldCharType="begin"/>
        </w:r>
        <w:r w:rsidR="00271C2A">
          <w:rPr>
            <w:noProof/>
            <w:webHidden/>
          </w:rPr>
          <w:instrText xml:space="preserve"> PAGEREF _Toc517507949 \h </w:instrText>
        </w:r>
        <w:r w:rsidR="00271C2A">
          <w:rPr>
            <w:noProof/>
            <w:webHidden/>
          </w:rPr>
        </w:r>
        <w:r w:rsidR="00271C2A">
          <w:rPr>
            <w:noProof/>
            <w:webHidden/>
          </w:rPr>
          <w:fldChar w:fldCharType="separate"/>
        </w:r>
        <w:r w:rsidR="00072F0D">
          <w:rPr>
            <w:noProof/>
            <w:webHidden/>
          </w:rPr>
          <w:t>9</w:t>
        </w:r>
        <w:r w:rsidR="00271C2A">
          <w:rPr>
            <w:noProof/>
            <w:webHidden/>
          </w:rPr>
          <w:fldChar w:fldCharType="end"/>
        </w:r>
      </w:hyperlink>
    </w:p>
    <w:p w14:paraId="295CE088"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50" w:history="1">
        <w:r w:rsidR="00271C2A" w:rsidRPr="005A36DB">
          <w:rPr>
            <w:rStyle w:val="Hyperlink"/>
            <w:noProof/>
          </w:rPr>
          <w:t>4.4</w:t>
        </w:r>
        <w:r w:rsidR="00271C2A">
          <w:rPr>
            <w:rFonts w:eastAsiaTheme="minorEastAsia"/>
            <w:b w:val="0"/>
            <w:bCs w:val="0"/>
            <w:noProof/>
            <w:lang w:eastAsia="de-DE"/>
          </w:rPr>
          <w:tab/>
        </w:r>
        <w:r w:rsidR="00271C2A" w:rsidRPr="005A36DB">
          <w:rPr>
            <w:rStyle w:val="Hyperlink"/>
            <w:noProof/>
          </w:rPr>
          <w:t>Anonyme Daten</w:t>
        </w:r>
        <w:r w:rsidR="00271C2A">
          <w:rPr>
            <w:noProof/>
            <w:webHidden/>
          </w:rPr>
          <w:tab/>
        </w:r>
        <w:r w:rsidR="00271C2A">
          <w:rPr>
            <w:noProof/>
            <w:webHidden/>
          </w:rPr>
          <w:fldChar w:fldCharType="begin"/>
        </w:r>
        <w:r w:rsidR="00271C2A">
          <w:rPr>
            <w:noProof/>
            <w:webHidden/>
          </w:rPr>
          <w:instrText xml:space="preserve"> PAGEREF _Toc517507950 \h </w:instrText>
        </w:r>
        <w:r w:rsidR="00271C2A">
          <w:rPr>
            <w:noProof/>
            <w:webHidden/>
          </w:rPr>
        </w:r>
        <w:r w:rsidR="00271C2A">
          <w:rPr>
            <w:noProof/>
            <w:webHidden/>
          </w:rPr>
          <w:fldChar w:fldCharType="separate"/>
        </w:r>
        <w:r w:rsidR="00072F0D">
          <w:rPr>
            <w:noProof/>
            <w:webHidden/>
          </w:rPr>
          <w:t>9</w:t>
        </w:r>
        <w:r w:rsidR="00271C2A">
          <w:rPr>
            <w:noProof/>
            <w:webHidden/>
          </w:rPr>
          <w:fldChar w:fldCharType="end"/>
        </w:r>
      </w:hyperlink>
    </w:p>
    <w:p w14:paraId="6B1E7D6C"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51" w:history="1">
        <w:r w:rsidR="00271C2A" w:rsidRPr="005A36DB">
          <w:rPr>
            <w:rStyle w:val="Hyperlink"/>
            <w:noProof/>
          </w:rPr>
          <w:t>4.5</w:t>
        </w:r>
        <w:r w:rsidR="00271C2A">
          <w:rPr>
            <w:rFonts w:eastAsiaTheme="minorEastAsia"/>
            <w:b w:val="0"/>
            <w:bCs w:val="0"/>
            <w:noProof/>
            <w:lang w:eastAsia="de-DE"/>
          </w:rPr>
          <w:tab/>
        </w:r>
        <w:r w:rsidR="00271C2A" w:rsidRPr="005A36DB">
          <w:rPr>
            <w:rStyle w:val="Hyperlink"/>
            <w:noProof/>
          </w:rPr>
          <w:t>Anonymisierung</w:t>
        </w:r>
        <w:r w:rsidR="00271C2A">
          <w:rPr>
            <w:noProof/>
            <w:webHidden/>
          </w:rPr>
          <w:tab/>
        </w:r>
        <w:r w:rsidR="00271C2A">
          <w:rPr>
            <w:noProof/>
            <w:webHidden/>
          </w:rPr>
          <w:fldChar w:fldCharType="begin"/>
        </w:r>
        <w:r w:rsidR="00271C2A">
          <w:rPr>
            <w:noProof/>
            <w:webHidden/>
          </w:rPr>
          <w:instrText xml:space="preserve"> PAGEREF _Toc517507951 \h </w:instrText>
        </w:r>
        <w:r w:rsidR="00271C2A">
          <w:rPr>
            <w:noProof/>
            <w:webHidden/>
          </w:rPr>
        </w:r>
        <w:r w:rsidR="00271C2A">
          <w:rPr>
            <w:noProof/>
            <w:webHidden/>
          </w:rPr>
          <w:fldChar w:fldCharType="separate"/>
        </w:r>
        <w:r w:rsidR="00072F0D">
          <w:rPr>
            <w:noProof/>
            <w:webHidden/>
          </w:rPr>
          <w:t>9</w:t>
        </w:r>
        <w:r w:rsidR="00271C2A">
          <w:rPr>
            <w:noProof/>
            <w:webHidden/>
          </w:rPr>
          <w:fldChar w:fldCharType="end"/>
        </w:r>
      </w:hyperlink>
    </w:p>
    <w:p w14:paraId="0BBE8509"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52" w:history="1">
        <w:r w:rsidR="00271C2A" w:rsidRPr="005A36DB">
          <w:rPr>
            <w:rStyle w:val="Hyperlink"/>
            <w:noProof/>
          </w:rPr>
          <w:t>5</w:t>
        </w:r>
        <w:r w:rsidR="00271C2A">
          <w:rPr>
            <w:rFonts w:eastAsiaTheme="minorEastAsia"/>
            <w:b w:val="0"/>
            <w:bCs w:val="0"/>
            <w:iCs w:val="0"/>
            <w:noProof/>
            <w:sz w:val="22"/>
            <w:szCs w:val="22"/>
            <w:lang w:eastAsia="de-DE"/>
          </w:rPr>
          <w:tab/>
        </w:r>
        <w:r w:rsidR="00271C2A" w:rsidRPr="005A36DB">
          <w:rPr>
            <w:rStyle w:val="Hyperlink"/>
            <w:noProof/>
          </w:rPr>
          <w:t>Rechtliche Rahmenbedingungen</w:t>
        </w:r>
        <w:r w:rsidR="00271C2A">
          <w:rPr>
            <w:noProof/>
            <w:webHidden/>
          </w:rPr>
          <w:tab/>
        </w:r>
        <w:r w:rsidR="00271C2A">
          <w:rPr>
            <w:noProof/>
            <w:webHidden/>
          </w:rPr>
          <w:fldChar w:fldCharType="begin"/>
        </w:r>
        <w:r w:rsidR="00271C2A">
          <w:rPr>
            <w:noProof/>
            <w:webHidden/>
          </w:rPr>
          <w:instrText xml:space="preserve"> PAGEREF _Toc517507952 \h </w:instrText>
        </w:r>
        <w:r w:rsidR="00271C2A">
          <w:rPr>
            <w:noProof/>
            <w:webHidden/>
          </w:rPr>
        </w:r>
        <w:r w:rsidR="00271C2A">
          <w:rPr>
            <w:noProof/>
            <w:webHidden/>
          </w:rPr>
          <w:fldChar w:fldCharType="separate"/>
        </w:r>
        <w:r w:rsidR="00072F0D">
          <w:rPr>
            <w:noProof/>
            <w:webHidden/>
          </w:rPr>
          <w:t>11</w:t>
        </w:r>
        <w:r w:rsidR="00271C2A">
          <w:rPr>
            <w:noProof/>
            <w:webHidden/>
          </w:rPr>
          <w:fldChar w:fldCharType="end"/>
        </w:r>
      </w:hyperlink>
    </w:p>
    <w:p w14:paraId="270253DB"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53" w:history="1">
        <w:r w:rsidR="00271C2A" w:rsidRPr="005A36DB">
          <w:rPr>
            <w:rStyle w:val="Hyperlink"/>
            <w:noProof/>
          </w:rPr>
          <w:t>5.1</w:t>
        </w:r>
        <w:r w:rsidR="00271C2A">
          <w:rPr>
            <w:rFonts w:eastAsiaTheme="minorEastAsia"/>
            <w:b w:val="0"/>
            <w:bCs w:val="0"/>
            <w:noProof/>
            <w:lang w:eastAsia="de-DE"/>
          </w:rPr>
          <w:tab/>
        </w:r>
        <w:r w:rsidR="00271C2A" w:rsidRPr="005A36DB">
          <w:rPr>
            <w:rStyle w:val="Hyperlink"/>
            <w:noProof/>
          </w:rPr>
          <w:t>Erlaubnistatbestand Pseudonymisierung/Anonymisierung</w:t>
        </w:r>
        <w:r w:rsidR="00271C2A">
          <w:rPr>
            <w:noProof/>
            <w:webHidden/>
          </w:rPr>
          <w:tab/>
        </w:r>
        <w:r w:rsidR="00271C2A">
          <w:rPr>
            <w:noProof/>
            <w:webHidden/>
          </w:rPr>
          <w:fldChar w:fldCharType="begin"/>
        </w:r>
        <w:r w:rsidR="00271C2A">
          <w:rPr>
            <w:noProof/>
            <w:webHidden/>
          </w:rPr>
          <w:instrText xml:space="preserve"> PAGEREF _Toc517507953 \h </w:instrText>
        </w:r>
        <w:r w:rsidR="00271C2A">
          <w:rPr>
            <w:noProof/>
            <w:webHidden/>
          </w:rPr>
        </w:r>
        <w:r w:rsidR="00271C2A">
          <w:rPr>
            <w:noProof/>
            <w:webHidden/>
          </w:rPr>
          <w:fldChar w:fldCharType="separate"/>
        </w:r>
        <w:r w:rsidR="00072F0D">
          <w:rPr>
            <w:noProof/>
            <w:webHidden/>
          </w:rPr>
          <w:t>11</w:t>
        </w:r>
        <w:r w:rsidR="00271C2A">
          <w:rPr>
            <w:noProof/>
            <w:webHidden/>
          </w:rPr>
          <w:fldChar w:fldCharType="end"/>
        </w:r>
      </w:hyperlink>
    </w:p>
    <w:p w14:paraId="1F57CB22"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54" w:history="1">
        <w:r w:rsidR="00271C2A" w:rsidRPr="005A36DB">
          <w:rPr>
            <w:rStyle w:val="Hyperlink"/>
            <w:noProof/>
          </w:rPr>
          <w:t>5.1.1</w:t>
        </w:r>
        <w:r w:rsidR="00271C2A">
          <w:rPr>
            <w:rFonts w:eastAsiaTheme="minorEastAsia"/>
            <w:noProof/>
            <w:sz w:val="22"/>
            <w:szCs w:val="22"/>
            <w:lang w:eastAsia="de-DE"/>
          </w:rPr>
          <w:tab/>
        </w:r>
        <w:r w:rsidR="00271C2A" w:rsidRPr="005A36DB">
          <w:rPr>
            <w:rStyle w:val="Hyperlink"/>
            <w:noProof/>
          </w:rPr>
          <w:t>Einwilligung</w:t>
        </w:r>
        <w:r w:rsidR="00271C2A">
          <w:rPr>
            <w:noProof/>
            <w:webHidden/>
          </w:rPr>
          <w:tab/>
        </w:r>
        <w:r w:rsidR="00271C2A">
          <w:rPr>
            <w:noProof/>
            <w:webHidden/>
          </w:rPr>
          <w:fldChar w:fldCharType="begin"/>
        </w:r>
        <w:r w:rsidR="00271C2A">
          <w:rPr>
            <w:noProof/>
            <w:webHidden/>
          </w:rPr>
          <w:instrText xml:space="preserve"> PAGEREF _Toc517507954 \h </w:instrText>
        </w:r>
        <w:r w:rsidR="00271C2A">
          <w:rPr>
            <w:noProof/>
            <w:webHidden/>
          </w:rPr>
        </w:r>
        <w:r w:rsidR="00271C2A">
          <w:rPr>
            <w:noProof/>
            <w:webHidden/>
          </w:rPr>
          <w:fldChar w:fldCharType="separate"/>
        </w:r>
        <w:r w:rsidR="00072F0D">
          <w:rPr>
            <w:noProof/>
            <w:webHidden/>
          </w:rPr>
          <w:t>11</w:t>
        </w:r>
        <w:r w:rsidR="00271C2A">
          <w:rPr>
            <w:noProof/>
            <w:webHidden/>
          </w:rPr>
          <w:fldChar w:fldCharType="end"/>
        </w:r>
      </w:hyperlink>
    </w:p>
    <w:p w14:paraId="06189146"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55" w:history="1">
        <w:r w:rsidR="00271C2A" w:rsidRPr="005A36DB">
          <w:rPr>
            <w:rStyle w:val="Hyperlink"/>
            <w:noProof/>
          </w:rPr>
          <w:t>5.1.2</w:t>
        </w:r>
        <w:r w:rsidR="00271C2A">
          <w:rPr>
            <w:rFonts w:eastAsiaTheme="minorEastAsia"/>
            <w:noProof/>
            <w:sz w:val="22"/>
            <w:szCs w:val="22"/>
            <w:lang w:eastAsia="de-DE"/>
          </w:rPr>
          <w:tab/>
        </w:r>
        <w:r w:rsidR="00271C2A" w:rsidRPr="005A36DB">
          <w:rPr>
            <w:rStyle w:val="Hyperlink"/>
            <w:noProof/>
          </w:rPr>
          <w:t>Sonderfall Forschung</w:t>
        </w:r>
        <w:r w:rsidR="00271C2A">
          <w:rPr>
            <w:noProof/>
            <w:webHidden/>
          </w:rPr>
          <w:tab/>
        </w:r>
        <w:r w:rsidR="00271C2A">
          <w:rPr>
            <w:noProof/>
            <w:webHidden/>
          </w:rPr>
          <w:fldChar w:fldCharType="begin"/>
        </w:r>
        <w:r w:rsidR="00271C2A">
          <w:rPr>
            <w:noProof/>
            <w:webHidden/>
          </w:rPr>
          <w:instrText xml:space="preserve"> PAGEREF _Toc517507955 \h </w:instrText>
        </w:r>
        <w:r w:rsidR="00271C2A">
          <w:rPr>
            <w:noProof/>
            <w:webHidden/>
          </w:rPr>
        </w:r>
        <w:r w:rsidR="00271C2A">
          <w:rPr>
            <w:noProof/>
            <w:webHidden/>
          </w:rPr>
          <w:fldChar w:fldCharType="separate"/>
        </w:r>
        <w:r w:rsidR="00072F0D">
          <w:rPr>
            <w:noProof/>
            <w:webHidden/>
          </w:rPr>
          <w:t>11</w:t>
        </w:r>
        <w:r w:rsidR="00271C2A">
          <w:rPr>
            <w:noProof/>
            <w:webHidden/>
          </w:rPr>
          <w:fldChar w:fldCharType="end"/>
        </w:r>
      </w:hyperlink>
    </w:p>
    <w:p w14:paraId="7789ED90"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56" w:history="1">
        <w:r w:rsidR="00271C2A" w:rsidRPr="005A36DB">
          <w:rPr>
            <w:rStyle w:val="Hyperlink"/>
            <w:noProof/>
          </w:rPr>
          <w:t>5.2</w:t>
        </w:r>
        <w:r w:rsidR="00271C2A">
          <w:rPr>
            <w:rFonts w:eastAsiaTheme="minorEastAsia"/>
            <w:b w:val="0"/>
            <w:bCs w:val="0"/>
            <w:noProof/>
            <w:lang w:eastAsia="de-DE"/>
          </w:rPr>
          <w:tab/>
        </w:r>
        <w:r w:rsidR="00271C2A" w:rsidRPr="005A36DB">
          <w:rPr>
            <w:rStyle w:val="Hyperlink"/>
            <w:noProof/>
          </w:rPr>
          <w:t>Betroffenenrechte</w:t>
        </w:r>
        <w:r w:rsidR="00271C2A">
          <w:rPr>
            <w:noProof/>
            <w:webHidden/>
          </w:rPr>
          <w:tab/>
        </w:r>
        <w:r w:rsidR="00271C2A">
          <w:rPr>
            <w:noProof/>
            <w:webHidden/>
          </w:rPr>
          <w:fldChar w:fldCharType="begin"/>
        </w:r>
        <w:r w:rsidR="00271C2A">
          <w:rPr>
            <w:noProof/>
            <w:webHidden/>
          </w:rPr>
          <w:instrText xml:space="preserve"> PAGEREF _Toc517507956 \h </w:instrText>
        </w:r>
        <w:r w:rsidR="00271C2A">
          <w:rPr>
            <w:noProof/>
            <w:webHidden/>
          </w:rPr>
        </w:r>
        <w:r w:rsidR="00271C2A">
          <w:rPr>
            <w:noProof/>
            <w:webHidden/>
          </w:rPr>
          <w:fldChar w:fldCharType="separate"/>
        </w:r>
        <w:r w:rsidR="00072F0D">
          <w:rPr>
            <w:noProof/>
            <w:webHidden/>
          </w:rPr>
          <w:t>12</w:t>
        </w:r>
        <w:r w:rsidR="00271C2A">
          <w:rPr>
            <w:noProof/>
            <w:webHidden/>
          </w:rPr>
          <w:fldChar w:fldCharType="end"/>
        </w:r>
      </w:hyperlink>
    </w:p>
    <w:p w14:paraId="016BA3EE"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57" w:history="1">
        <w:r w:rsidR="00271C2A" w:rsidRPr="005A36DB">
          <w:rPr>
            <w:rStyle w:val="Hyperlink"/>
            <w:noProof/>
          </w:rPr>
          <w:t>5.2.1</w:t>
        </w:r>
        <w:r w:rsidR="00271C2A">
          <w:rPr>
            <w:rFonts w:eastAsiaTheme="minorEastAsia"/>
            <w:noProof/>
            <w:sz w:val="22"/>
            <w:szCs w:val="22"/>
            <w:lang w:eastAsia="de-DE"/>
          </w:rPr>
          <w:tab/>
        </w:r>
        <w:r w:rsidR="00271C2A" w:rsidRPr="00F215B1">
          <w:rPr>
            <w:rStyle w:val="Hyperlink"/>
            <w:noProof/>
          </w:rPr>
          <w:t>Anonyme</w:t>
        </w:r>
        <w:r w:rsidR="00271C2A" w:rsidRPr="005A36DB">
          <w:rPr>
            <w:rStyle w:val="Hyperlink"/>
            <w:noProof/>
          </w:rPr>
          <w:t xml:space="preserve"> Daten und Betroffenenrechte</w:t>
        </w:r>
        <w:r w:rsidR="00271C2A">
          <w:rPr>
            <w:noProof/>
            <w:webHidden/>
          </w:rPr>
          <w:tab/>
        </w:r>
        <w:r w:rsidR="00271C2A">
          <w:rPr>
            <w:noProof/>
            <w:webHidden/>
          </w:rPr>
          <w:fldChar w:fldCharType="begin"/>
        </w:r>
        <w:r w:rsidR="00271C2A">
          <w:rPr>
            <w:noProof/>
            <w:webHidden/>
          </w:rPr>
          <w:instrText xml:space="preserve"> PAGEREF _Toc517507957 \h </w:instrText>
        </w:r>
        <w:r w:rsidR="00271C2A">
          <w:rPr>
            <w:noProof/>
            <w:webHidden/>
          </w:rPr>
        </w:r>
        <w:r w:rsidR="00271C2A">
          <w:rPr>
            <w:noProof/>
            <w:webHidden/>
          </w:rPr>
          <w:fldChar w:fldCharType="separate"/>
        </w:r>
        <w:r w:rsidR="00072F0D">
          <w:rPr>
            <w:noProof/>
            <w:webHidden/>
          </w:rPr>
          <w:t>12</w:t>
        </w:r>
        <w:r w:rsidR="00271C2A">
          <w:rPr>
            <w:noProof/>
            <w:webHidden/>
          </w:rPr>
          <w:fldChar w:fldCharType="end"/>
        </w:r>
      </w:hyperlink>
    </w:p>
    <w:p w14:paraId="197C8342"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58" w:history="1">
        <w:r w:rsidR="00271C2A" w:rsidRPr="005A36DB">
          <w:rPr>
            <w:rStyle w:val="Hyperlink"/>
            <w:noProof/>
          </w:rPr>
          <w:t>5.2.2</w:t>
        </w:r>
        <w:r w:rsidR="00271C2A">
          <w:rPr>
            <w:rFonts w:eastAsiaTheme="minorEastAsia"/>
            <w:noProof/>
            <w:sz w:val="22"/>
            <w:szCs w:val="22"/>
            <w:lang w:eastAsia="de-DE"/>
          </w:rPr>
          <w:tab/>
        </w:r>
        <w:r w:rsidR="00271C2A" w:rsidRPr="00F215B1">
          <w:rPr>
            <w:rStyle w:val="Hyperlink"/>
            <w:noProof/>
          </w:rPr>
          <w:t>Pseudonyme</w:t>
        </w:r>
        <w:r w:rsidR="00271C2A" w:rsidRPr="005A36DB">
          <w:rPr>
            <w:rStyle w:val="Hyperlink"/>
            <w:noProof/>
          </w:rPr>
          <w:t xml:space="preserve"> Daten und Betroffenenrechte</w:t>
        </w:r>
        <w:r w:rsidR="00271C2A">
          <w:rPr>
            <w:noProof/>
            <w:webHidden/>
          </w:rPr>
          <w:tab/>
        </w:r>
        <w:r w:rsidR="00271C2A">
          <w:rPr>
            <w:noProof/>
            <w:webHidden/>
          </w:rPr>
          <w:fldChar w:fldCharType="begin"/>
        </w:r>
        <w:r w:rsidR="00271C2A">
          <w:rPr>
            <w:noProof/>
            <w:webHidden/>
          </w:rPr>
          <w:instrText xml:space="preserve"> PAGEREF _Toc517507958 \h </w:instrText>
        </w:r>
        <w:r w:rsidR="00271C2A">
          <w:rPr>
            <w:noProof/>
            <w:webHidden/>
          </w:rPr>
        </w:r>
        <w:r w:rsidR="00271C2A">
          <w:rPr>
            <w:noProof/>
            <w:webHidden/>
          </w:rPr>
          <w:fldChar w:fldCharType="separate"/>
        </w:r>
        <w:r w:rsidR="00072F0D">
          <w:rPr>
            <w:noProof/>
            <w:webHidden/>
          </w:rPr>
          <w:t>13</w:t>
        </w:r>
        <w:r w:rsidR="00271C2A">
          <w:rPr>
            <w:noProof/>
            <w:webHidden/>
          </w:rPr>
          <w:fldChar w:fldCharType="end"/>
        </w:r>
      </w:hyperlink>
    </w:p>
    <w:p w14:paraId="58C42B61"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59" w:history="1">
        <w:r w:rsidR="00271C2A" w:rsidRPr="005A36DB">
          <w:rPr>
            <w:rStyle w:val="Hyperlink"/>
            <w:noProof/>
          </w:rPr>
          <w:t>5.2.3</w:t>
        </w:r>
        <w:r w:rsidR="00271C2A">
          <w:rPr>
            <w:rFonts w:eastAsiaTheme="minorEastAsia"/>
            <w:noProof/>
            <w:sz w:val="22"/>
            <w:szCs w:val="22"/>
            <w:lang w:eastAsia="de-DE"/>
          </w:rPr>
          <w:tab/>
        </w:r>
        <w:r w:rsidR="00271C2A" w:rsidRPr="005A36DB">
          <w:rPr>
            <w:rStyle w:val="Hyperlink"/>
            <w:noProof/>
          </w:rPr>
          <w:t>Information bei Zweckänderung</w:t>
        </w:r>
        <w:r w:rsidR="00271C2A">
          <w:rPr>
            <w:noProof/>
            <w:webHidden/>
          </w:rPr>
          <w:tab/>
        </w:r>
        <w:r w:rsidR="00271C2A">
          <w:rPr>
            <w:noProof/>
            <w:webHidden/>
          </w:rPr>
          <w:fldChar w:fldCharType="begin"/>
        </w:r>
        <w:r w:rsidR="00271C2A">
          <w:rPr>
            <w:noProof/>
            <w:webHidden/>
          </w:rPr>
          <w:instrText xml:space="preserve"> PAGEREF _Toc517507959 \h </w:instrText>
        </w:r>
        <w:r w:rsidR="00271C2A">
          <w:rPr>
            <w:noProof/>
            <w:webHidden/>
          </w:rPr>
        </w:r>
        <w:r w:rsidR="00271C2A">
          <w:rPr>
            <w:noProof/>
            <w:webHidden/>
          </w:rPr>
          <w:fldChar w:fldCharType="separate"/>
        </w:r>
        <w:r w:rsidR="00072F0D">
          <w:rPr>
            <w:noProof/>
            <w:webHidden/>
          </w:rPr>
          <w:t>13</w:t>
        </w:r>
        <w:r w:rsidR="00271C2A">
          <w:rPr>
            <w:noProof/>
            <w:webHidden/>
          </w:rPr>
          <w:fldChar w:fldCharType="end"/>
        </w:r>
      </w:hyperlink>
    </w:p>
    <w:p w14:paraId="78C11A9D"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60" w:history="1">
        <w:r w:rsidR="00271C2A" w:rsidRPr="005A36DB">
          <w:rPr>
            <w:rStyle w:val="Hyperlink"/>
            <w:noProof/>
          </w:rPr>
          <w:t>5.3</w:t>
        </w:r>
        <w:r w:rsidR="00271C2A">
          <w:rPr>
            <w:rFonts w:eastAsiaTheme="minorEastAsia"/>
            <w:b w:val="0"/>
            <w:bCs w:val="0"/>
            <w:noProof/>
            <w:lang w:eastAsia="de-DE"/>
          </w:rPr>
          <w:tab/>
        </w:r>
        <w:r w:rsidR="00271C2A" w:rsidRPr="006C6D59">
          <w:rPr>
            <w:rStyle w:val="Hyperlink"/>
            <w:noProof/>
          </w:rPr>
          <w:t>Privacy</w:t>
        </w:r>
        <w:r w:rsidR="00271C2A" w:rsidRPr="005A36DB">
          <w:rPr>
            <w:rStyle w:val="Hyperlink"/>
            <w:noProof/>
          </w:rPr>
          <w:t xml:space="preserve"> </w:t>
        </w:r>
        <w:r w:rsidR="00271C2A" w:rsidRPr="006C6D59">
          <w:rPr>
            <w:rStyle w:val="Hyperlink"/>
            <w:noProof/>
          </w:rPr>
          <w:t>by</w:t>
        </w:r>
        <w:r w:rsidR="00271C2A" w:rsidRPr="005A36DB">
          <w:rPr>
            <w:rStyle w:val="Hyperlink"/>
            <w:noProof/>
          </w:rPr>
          <w:t xml:space="preserve"> Design/Default</w:t>
        </w:r>
        <w:r w:rsidR="00271C2A">
          <w:rPr>
            <w:noProof/>
            <w:webHidden/>
          </w:rPr>
          <w:tab/>
        </w:r>
        <w:r w:rsidR="00271C2A">
          <w:rPr>
            <w:noProof/>
            <w:webHidden/>
          </w:rPr>
          <w:fldChar w:fldCharType="begin"/>
        </w:r>
        <w:r w:rsidR="00271C2A">
          <w:rPr>
            <w:noProof/>
            <w:webHidden/>
          </w:rPr>
          <w:instrText xml:space="preserve"> PAGEREF _Toc517507960 \h </w:instrText>
        </w:r>
        <w:r w:rsidR="00271C2A">
          <w:rPr>
            <w:noProof/>
            <w:webHidden/>
          </w:rPr>
        </w:r>
        <w:r w:rsidR="00271C2A">
          <w:rPr>
            <w:noProof/>
            <w:webHidden/>
          </w:rPr>
          <w:fldChar w:fldCharType="separate"/>
        </w:r>
        <w:r w:rsidR="00072F0D">
          <w:rPr>
            <w:noProof/>
            <w:webHidden/>
          </w:rPr>
          <w:t>13</w:t>
        </w:r>
        <w:r w:rsidR="00271C2A">
          <w:rPr>
            <w:noProof/>
            <w:webHidden/>
          </w:rPr>
          <w:fldChar w:fldCharType="end"/>
        </w:r>
      </w:hyperlink>
    </w:p>
    <w:p w14:paraId="2326F09F"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61" w:history="1">
        <w:r w:rsidR="00271C2A" w:rsidRPr="005A36DB">
          <w:rPr>
            <w:rStyle w:val="Hyperlink"/>
            <w:noProof/>
          </w:rPr>
          <w:t>5.4</w:t>
        </w:r>
        <w:r w:rsidR="00271C2A">
          <w:rPr>
            <w:rFonts w:eastAsiaTheme="minorEastAsia"/>
            <w:b w:val="0"/>
            <w:bCs w:val="0"/>
            <w:noProof/>
            <w:lang w:eastAsia="de-DE"/>
          </w:rPr>
          <w:tab/>
        </w:r>
        <w:r w:rsidR="00271C2A" w:rsidRPr="005A36DB">
          <w:rPr>
            <w:rStyle w:val="Hyperlink"/>
            <w:noProof/>
          </w:rPr>
          <w:t>Datenschutz-Folgenabschätzung</w:t>
        </w:r>
        <w:r w:rsidR="00271C2A">
          <w:rPr>
            <w:noProof/>
            <w:webHidden/>
          </w:rPr>
          <w:tab/>
        </w:r>
        <w:r w:rsidR="00271C2A">
          <w:rPr>
            <w:noProof/>
            <w:webHidden/>
          </w:rPr>
          <w:fldChar w:fldCharType="begin"/>
        </w:r>
        <w:r w:rsidR="00271C2A">
          <w:rPr>
            <w:noProof/>
            <w:webHidden/>
          </w:rPr>
          <w:instrText xml:space="preserve"> PAGEREF _Toc517507961 \h </w:instrText>
        </w:r>
        <w:r w:rsidR="00271C2A">
          <w:rPr>
            <w:noProof/>
            <w:webHidden/>
          </w:rPr>
        </w:r>
        <w:r w:rsidR="00271C2A">
          <w:rPr>
            <w:noProof/>
            <w:webHidden/>
          </w:rPr>
          <w:fldChar w:fldCharType="separate"/>
        </w:r>
        <w:r w:rsidR="00072F0D">
          <w:rPr>
            <w:noProof/>
            <w:webHidden/>
          </w:rPr>
          <w:t>14</w:t>
        </w:r>
        <w:r w:rsidR="00271C2A">
          <w:rPr>
            <w:noProof/>
            <w:webHidden/>
          </w:rPr>
          <w:fldChar w:fldCharType="end"/>
        </w:r>
      </w:hyperlink>
    </w:p>
    <w:p w14:paraId="27E9D9B5"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62" w:history="1">
        <w:r w:rsidR="00271C2A" w:rsidRPr="005A36DB">
          <w:rPr>
            <w:rStyle w:val="Hyperlink"/>
            <w:noProof/>
          </w:rPr>
          <w:t>6</w:t>
        </w:r>
        <w:r w:rsidR="00271C2A">
          <w:rPr>
            <w:rFonts w:eastAsiaTheme="minorEastAsia"/>
            <w:b w:val="0"/>
            <w:bCs w:val="0"/>
            <w:iCs w:val="0"/>
            <w:noProof/>
            <w:sz w:val="22"/>
            <w:szCs w:val="22"/>
            <w:lang w:eastAsia="de-DE"/>
          </w:rPr>
          <w:tab/>
        </w:r>
        <w:r w:rsidR="00271C2A" w:rsidRPr="005A36DB">
          <w:rPr>
            <w:rStyle w:val="Hyperlink"/>
            <w:noProof/>
          </w:rPr>
          <w:t xml:space="preserve">Sonderfall: </w:t>
        </w:r>
        <w:r w:rsidR="00271C2A" w:rsidRPr="00F215B1">
          <w:rPr>
            <w:rStyle w:val="Hyperlink"/>
            <w:noProof/>
          </w:rPr>
          <w:t>Genetische</w:t>
        </w:r>
        <w:r w:rsidR="00271C2A" w:rsidRPr="005A36DB">
          <w:rPr>
            <w:rStyle w:val="Hyperlink"/>
            <w:noProof/>
          </w:rPr>
          <w:t xml:space="preserve"> Daten / Biomaterial</w:t>
        </w:r>
        <w:r w:rsidR="00271C2A">
          <w:rPr>
            <w:noProof/>
            <w:webHidden/>
          </w:rPr>
          <w:tab/>
        </w:r>
        <w:r w:rsidR="00271C2A">
          <w:rPr>
            <w:noProof/>
            <w:webHidden/>
          </w:rPr>
          <w:fldChar w:fldCharType="begin"/>
        </w:r>
        <w:r w:rsidR="00271C2A">
          <w:rPr>
            <w:noProof/>
            <w:webHidden/>
          </w:rPr>
          <w:instrText xml:space="preserve"> PAGEREF _Toc517507962 \h </w:instrText>
        </w:r>
        <w:r w:rsidR="00271C2A">
          <w:rPr>
            <w:noProof/>
            <w:webHidden/>
          </w:rPr>
        </w:r>
        <w:r w:rsidR="00271C2A">
          <w:rPr>
            <w:noProof/>
            <w:webHidden/>
          </w:rPr>
          <w:fldChar w:fldCharType="separate"/>
        </w:r>
        <w:r w:rsidR="00072F0D">
          <w:rPr>
            <w:noProof/>
            <w:webHidden/>
          </w:rPr>
          <w:t>15</w:t>
        </w:r>
        <w:r w:rsidR="00271C2A">
          <w:rPr>
            <w:noProof/>
            <w:webHidden/>
          </w:rPr>
          <w:fldChar w:fldCharType="end"/>
        </w:r>
      </w:hyperlink>
    </w:p>
    <w:p w14:paraId="5151B557"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63" w:history="1">
        <w:r w:rsidR="00271C2A" w:rsidRPr="005A36DB">
          <w:rPr>
            <w:rStyle w:val="Hyperlink"/>
            <w:noProof/>
          </w:rPr>
          <w:t>6.1</w:t>
        </w:r>
        <w:r w:rsidR="00271C2A">
          <w:rPr>
            <w:rFonts w:eastAsiaTheme="minorEastAsia"/>
            <w:b w:val="0"/>
            <w:bCs w:val="0"/>
            <w:noProof/>
            <w:lang w:eastAsia="de-DE"/>
          </w:rPr>
          <w:tab/>
        </w:r>
        <w:r w:rsidR="00271C2A" w:rsidRPr="005A36DB">
          <w:rPr>
            <w:rStyle w:val="Hyperlink"/>
            <w:noProof/>
          </w:rPr>
          <w:t>Biomaterial und Einwilligung</w:t>
        </w:r>
        <w:r w:rsidR="00271C2A">
          <w:rPr>
            <w:noProof/>
            <w:webHidden/>
          </w:rPr>
          <w:tab/>
        </w:r>
        <w:r w:rsidR="00271C2A">
          <w:rPr>
            <w:noProof/>
            <w:webHidden/>
          </w:rPr>
          <w:fldChar w:fldCharType="begin"/>
        </w:r>
        <w:r w:rsidR="00271C2A">
          <w:rPr>
            <w:noProof/>
            <w:webHidden/>
          </w:rPr>
          <w:instrText xml:space="preserve"> PAGEREF _Toc517507963 \h </w:instrText>
        </w:r>
        <w:r w:rsidR="00271C2A">
          <w:rPr>
            <w:noProof/>
            <w:webHidden/>
          </w:rPr>
        </w:r>
        <w:r w:rsidR="00271C2A">
          <w:rPr>
            <w:noProof/>
            <w:webHidden/>
          </w:rPr>
          <w:fldChar w:fldCharType="separate"/>
        </w:r>
        <w:r w:rsidR="00072F0D">
          <w:rPr>
            <w:noProof/>
            <w:webHidden/>
          </w:rPr>
          <w:t>15</w:t>
        </w:r>
        <w:r w:rsidR="00271C2A">
          <w:rPr>
            <w:noProof/>
            <w:webHidden/>
          </w:rPr>
          <w:fldChar w:fldCharType="end"/>
        </w:r>
      </w:hyperlink>
    </w:p>
    <w:p w14:paraId="46A6BA79"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64" w:history="1">
        <w:r w:rsidR="00271C2A" w:rsidRPr="005A36DB">
          <w:rPr>
            <w:rStyle w:val="Hyperlink"/>
            <w:noProof/>
          </w:rPr>
          <w:t>7</w:t>
        </w:r>
        <w:r w:rsidR="00271C2A">
          <w:rPr>
            <w:rFonts w:eastAsiaTheme="minorEastAsia"/>
            <w:b w:val="0"/>
            <w:bCs w:val="0"/>
            <w:iCs w:val="0"/>
            <w:noProof/>
            <w:sz w:val="22"/>
            <w:szCs w:val="22"/>
            <w:lang w:eastAsia="de-DE"/>
          </w:rPr>
          <w:tab/>
        </w:r>
        <w:r w:rsidR="00271C2A" w:rsidRPr="005A36DB">
          <w:rPr>
            <w:rStyle w:val="Hyperlink"/>
            <w:noProof/>
          </w:rPr>
          <w:t xml:space="preserve">Exkurs: </w:t>
        </w:r>
        <w:r w:rsidR="00271C2A" w:rsidRPr="006C6D59">
          <w:rPr>
            <w:rStyle w:val="Hyperlink"/>
            <w:noProof/>
          </w:rPr>
          <w:t>HIPAA</w:t>
        </w:r>
        <w:r w:rsidR="00271C2A" w:rsidRPr="005A36DB">
          <w:rPr>
            <w:rStyle w:val="Hyperlink"/>
            <w:noProof/>
          </w:rPr>
          <w:t xml:space="preserve"> und </w:t>
        </w:r>
        <w:r w:rsidR="00271C2A" w:rsidRPr="006C6D59">
          <w:rPr>
            <w:rStyle w:val="Hyperlink"/>
            <w:noProof/>
          </w:rPr>
          <w:t>De-Identification</w:t>
        </w:r>
        <w:r w:rsidR="00271C2A" w:rsidRPr="005A36DB">
          <w:rPr>
            <w:rStyle w:val="Hyperlink"/>
            <w:noProof/>
          </w:rPr>
          <w:t xml:space="preserve"> – der amerikanische Weg</w:t>
        </w:r>
        <w:r w:rsidR="00271C2A">
          <w:rPr>
            <w:noProof/>
            <w:webHidden/>
          </w:rPr>
          <w:tab/>
        </w:r>
        <w:r w:rsidR="00271C2A">
          <w:rPr>
            <w:noProof/>
            <w:webHidden/>
          </w:rPr>
          <w:fldChar w:fldCharType="begin"/>
        </w:r>
        <w:r w:rsidR="00271C2A">
          <w:rPr>
            <w:noProof/>
            <w:webHidden/>
          </w:rPr>
          <w:instrText xml:space="preserve"> PAGEREF _Toc517507964 \h </w:instrText>
        </w:r>
        <w:r w:rsidR="00271C2A">
          <w:rPr>
            <w:noProof/>
            <w:webHidden/>
          </w:rPr>
        </w:r>
        <w:r w:rsidR="00271C2A">
          <w:rPr>
            <w:noProof/>
            <w:webHidden/>
          </w:rPr>
          <w:fldChar w:fldCharType="separate"/>
        </w:r>
        <w:r w:rsidR="00072F0D">
          <w:rPr>
            <w:noProof/>
            <w:webHidden/>
          </w:rPr>
          <w:t>17</w:t>
        </w:r>
        <w:r w:rsidR="00271C2A">
          <w:rPr>
            <w:noProof/>
            <w:webHidden/>
          </w:rPr>
          <w:fldChar w:fldCharType="end"/>
        </w:r>
      </w:hyperlink>
    </w:p>
    <w:p w14:paraId="054C9511"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65" w:history="1">
        <w:r w:rsidR="00271C2A" w:rsidRPr="005A36DB">
          <w:rPr>
            <w:rStyle w:val="Hyperlink"/>
            <w:noProof/>
          </w:rPr>
          <w:t>8</w:t>
        </w:r>
        <w:r w:rsidR="00271C2A">
          <w:rPr>
            <w:rFonts w:eastAsiaTheme="minorEastAsia"/>
            <w:b w:val="0"/>
            <w:bCs w:val="0"/>
            <w:iCs w:val="0"/>
            <w:noProof/>
            <w:sz w:val="22"/>
            <w:szCs w:val="22"/>
            <w:lang w:eastAsia="de-DE"/>
          </w:rPr>
          <w:tab/>
        </w:r>
        <w:r w:rsidR="00271C2A" w:rsidRPr="00F215B1">
          <w:rPr>
            <w:rStyle w:val="Hyperlink"/>
            <w:noProof/>
          </w:rPr>
          <w:t>Hands</w:t>
        </w:r>
        <w:r w:rsidR="00271C2A" w:rsidRPr="005A36DB">
          <w:rPr>
            <w:rStyle w:val="Hyperlink"/>
            <w:noProof/>
          </w:rPr>
          <w:t xml:space="preserve"> on: Wie geht man vor?</w:t>
        </w:r>
        <w:r w:rsidR="00271C2A">
          <w:rPr>
            <w:noProof/>
            <w:webHidden/>
          </w:rPr>
          <w:tab/>
        </w:r>
        <w:r w:rsidR="00271C2A" w:rsidRPr="00F215B1">
          <w:rPr>
            <w:noProof/>
            <w:webHidden/>
          </w:rPr>
          <w:fldChar w:fldCharType="begin"/>
        </w:r>
        <w:r w:rsidR="00271C2A" w:rsidRPr="00F215B1">
          <w:rPr>
            <w:noProof/>
            <w:webHidden/>
          </w:rPr>
          <w:instrText xml:space="preserve"> PAGEREF _Toc517507965 \h </w:instrText>
        </w:r>
        <w:r w:rsidR="00271C2A" w:rsidRPr="00F215B1">
          <w:rPr>
            <w:noProof/>
            <w:webHidden/>
          </w:rPr>
        </w:r>
        <w:r w:rsidR="00271C2A" w:rsidRPr="00F215B1">
          <w:rPr>
            <w:noProof/>
            <w:webHidden/>
          </w:rPr>
          <w:fldChar w:fldCharType="separate"/>
        </w:r>
        <w:r w:rsidR="00072F0D">
          <w:rPr>
            <w:noProof/>
            <w:webHidden/>
          </w:rPr>
          <w:t>19</w:t>
        </w:r>
        <w:r w:rsidR="00271C2A" w:rsidRPr="00F215B1">
          <w:rPr>
            <w:noProof/>
            <w:webHidden/>
          </w:rPr>
          <w:fldChar w:fldCharType="end"/>
        </w:r>
      </w:hyperlink>
    </w:p>
    <w:p w14:paraId="65FF703C"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66" w:history="1">
        <w:r w:rsidR="00271C2A" w:rsidRPr="005A36DB">
          <w:rPr>
            <w:rStyle w:val="Hyperlink"/>
            <w:noProof/>
          </w:rPr>
          <w:t>8.1</w:t>
        </w:r>
        <w:r w:rsidR="00271C2A">
          <w:rPr>
            <w:rFonts w:eastAsiaTheme="minorEastAsia"/>
            <w:b w:val="0"/>
            <w:bCs w:val="0"/>
            <w:noProof/>
            <w:lang w:eastAsia="de-DE"/>
          </w:rPr>
          <w:tab/>
        </w:r>
        <w:r w:rsidR="00271C2A" w:rsidRPr="005A36DB">
          <w:rPr>
            <w:rStyle w:val="Hyperlink"/>
            <w:noProof/>
          </w:rPr>
          <w:t>Identifizierung der direkten und indirekten identifizierenden Daten</w:t>
        </w:r>
        <w:r w:rsidR="00271C2A">
          <w:rPr>
            <w:noProof/>
            <w:webHidden/>
          </w:rPr>
          <w:tab/>
        </w:r>
        <w:r w:rsidR="00271C2A" w:rsidRPr="00F215B1">
          <w:rPr>
            <w:noProof/>
            <w:webHidden/>
          </w:rPr>
          <w:fldChar w:fldCharType="begin"/>
        </w:r>
        <w:r w:rsidR="00271C2A" w:rsidRPr="00F215B1">
          <w:rPr>
            <w:noProof/>
            <w:webHidden/>
          </w:rPr>
          <w:instrText xml:space="preserve"> PAGEREF _Toc517507966 \h </w:instrText>
        </w:r>
        <w:r w:rsidR="00271C2A" w:rsidRPr="00F215B1">
          <w:rPr>
            <w:noProof/>
            <w:webHidden/>
          </w:rPr>
        </w:r>
        <w:r w:rsidR="00271C2A" w:rsidRPr="00F215B1">
          <w:rPr>
            <w:noProof/>
            <w:webHidden/>
          </w:rPr>
          <w:fldChar w:fldCharType="separate"/>
        </w:r>
        <w:r w:rsidR="00072F0D">
          <w:rPr>
            <w:noProof/>
            <w:webHidden/>
          </w:rPr>
          <w:t>19</w:t>
        </w:r>
        <w:r w:rsidR="00271C2A" w:rsidRPr="00F215B1">
          <w:rPr>
            <w:noProof/>
            <w:webHidden/>
          </w:rPr>
          <w:fldChar w:fldCharType="end"/>
        </w:r>
      </w:hyperlink>
    </w:p>
    <w:p w14:paraId="13819D71"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67" w:history="1">
        <w:r w:rsidR="00271C2A" w:rsidRPr="005A36DB">
          <w:rPr>
            <w:rStyle w:val="Hyperlink"/>
            <w:noProof/>
          </w:rPr>
          <w:t>8.2</w:t>
        </w:r>
        <w:r w:rsidR="00271C2A">
          <w:rPr>
            <w:rFonts w:eastAsiaTheme="minorEastAsia"/>
            <w:b w:val="0"/>
            <w:bCs w:val="0"/>
            <w:noProof/>
            <w:lang w:eastAsia="de-DE"/>
          </w:rPr>
          <w:tab/>
        </w:r>
        <w:r w:rsidR="00271C2A" w:rsidRPr="005A36DB">
          <w:rPr>
            <w:rStyle w:val="Hyperlink"/>
            <w:noProof/>
          </w:rPr>
          <w:t>Arten von Pseudonymen und ihre Unterscheidungsmöglichkeiten</w:t>
        </w:r>
        <w:r w:rsidR="00271C2A">
          <w:rPr>
            <w:noProof/>
            <w:webHidden/>
          </w:rPr>
          <w:tab/>
        </w:r>
        <w:r w:rsidR="00271C2A">
          <w:rPr>
            <w:noProof/>
            <w:webHidden/>
          </w:rPr>
          <w:fldChar w:fldCharType="begin"/>
        </w:r>
        <w:r w:rsidR="00271C2A">
          <w:rPr>
            <w:noProof/>
            <w:webHidden/>
          </w:rPr>
          <w:instrText xml:space="preserve"> PAGEREF _Toc517507967 \h </w:instrText>
        </w:r>
        <w:r w:rsidR="00271C2A">
          <w:rPr>
            <w:noProof/>
            <w:webHidden/>
          </w:rPr>
        </w:r>
        <w:r w:rsidR="00271C2A">
          <w:rPr>
            <w:noProof/>
            <w:webHidden/>
          </w:rPr>
          <w:fldChar w:fldCharType="separate"/>
        </w:r>
        <w:r w:rsidR="00072F0D">
          <w:rPr>
            <w:noProof/>
            <w:webHidden/>
          </w:rPr>
          <w:t>20</w:t>
        </w:r>
        <w:r w:rsidR="00271C2A">
          <w:rPr>
            <w:noProof/>
            <w:webHidden/>
          </w:rPr>
          <w:fldChar w:fldCharType="end"/>
        </w:r>
      </w:hyperlink>
    </w:p>
    <w:p w14:paraId="6E81C440"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68" w:history="1">
        <w:r w:rsidR="00271C2A" w:rsidRPr="005A36DB">
          <w:rPr>
            <w:rStyle w:val="Hyperlink"/>
            <w:noProof/>
          </w:rPr>
          <w:t>8.3</w:t>
        </w:r>
        <w:r w:rsidR="00271C2A">
          <w:rPr>
            <w:rFonts w:eastAsiaTheme="minorEastAsia"/>
            <w:b w:val="0"/>
            <w:bCs w:val="0"/>
            <w:noProof/>
            <w:lang w:eastAsia="de-DE"/>
          </w:rPr>
          <w:tab/>
        </w:r>
        <w:r w:rsidR="00271C2A" w:rsidRPr="005A36DB">
          <w:rPr>
            <w:rStyle w:val="Hyperlink"/>
            <w:noProof/>
          </w:rPr>
          <w:t>Methoden zur Pseudonymisierung/Anonymisierung</w:t>
        </w:r>
        <w:r w:rsidR="00271C2A">
          <w:rPr>
            <w:noProof/>
            <w:webHidden/>
          </w:rPr>
          <w:tab/>
        </w:r>
        <w:r w:rsidR="00271C2A">
          <w:rPr>
            <w:noProof/>
            <w:webHidden/>
          </w:rPr>
          <w:fldChar w:fldCharType="begin"/>
        </w:r>
        <w:r w:rsidR="00271C2A">
          <w:rPr>
            <w:noProof/>
            <w:webHidden/>
          </w:rPr>
          <w:instrText xml:space="preserve"> PAGEREF _Toc517507968 \h </w:instrText>
        </w:r>
        <w:r w:rsidR="00271C2A">
          <w:rPr>
            <w:noProof/>
            <w:webHidden/>
          </w:rPr>
        </w:r>
        <w:r w:rsidR="00271C2A">
          <w:rPr>
            <w:noProof/>
            <w:webHidden/>
          </w:rPr>
          <w:fldChar w:fldCharType="separate"/>
        </w:r>
        <w:r w:rsidR="00072F0D">
          <w:rPr>
            <w:noProof/>
            <w:webHidden/>
          </w:rPr>
          <w:t>20</w:t>
        </w:r>
        <w:r w:rsidR="00271C2A">
          <w:rPr>
            <w:noProof/>
            <w:webHidden/>
          </w:rPr>
          <w:fldChar w:fldCharType="end"/>
        </w:r>
      </w:hyperlink>
    </w:p>
    <w:p w14:paraId="0352C10B"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69" w:history="1">
        <w:r w:rsidR="00271C2A" w:rsidRPr="005A36DB">
          <w:rPr>
            <w:rStyle w:val="Hyperlink"/>
            <w:noProof/>
          </w:rPr>
          <w:t>8.3.1</w:t>
        </w:r>
        <w:r w:rsidR="00271C2A">
          <w:rPr>
            <w:rFonts w:eastAsiaTheme="minorEastAsia"/>
            <w:noProof/>
            <w:sz w:val="22"/>
            <w:szCs w:val="22"/>
            <w:lang w:eastAsia="de-DE"/>
          </w:rPr>
          <w:tab/>
        </w:r>
        <w:r w:rsidR="00271C2A" w:rsidRPr="005A36DB">
          <w:rPr>
            <w:rStyle w:val="Hyperlink"/>
            <w:noProof/>
          </w:rPr>
          <w:t>Nichtangabe</w:t>
        </w:r>
        <w:r w:rsidR="00271C2A">
          <w:rPr>
            <w:noProof/>
            <w:webHidden/>
          </w:rPr>
          <w:tab/>
        </w:r>
        <w:r w:rsidR="00271C2A">
          <w:rPr>
            <w:noProof/>
            <w:webHidden/>
          </w:rPr>
          <w:fldChar w:fldCharType="begin"/>
        </w:r>
        <w:r w:rsidR="00271C2A">
          <w:rPr>
            <w:noProof/>
            <w:webHidden/>
          </w:rPr>
          <w:instrText xml:space="preserve"> PAGEREF _Toc517507969 \h </w:instrText>
        </w:r>
        <w:r w:rsidR="00271C2A">
          <w:rPr>
            <w:noProof/>
            <w:webHidden/>
          </w:rPr>
        </w:r>
        <w:r w:rsidR="00271C2A">
          <w:rPr>
            <w:noProof/>
            <w:webHidden/>
          </w:rPr>
          <w:fldChar w:fldCharType="separate"/>
        </w:r>
        <w:r w:rsidR="00072F0D">
          <w:rPr>
            <w:noProof/>
            <w:webHidden/>
          </w:rPr>
          <w:t>20</w:t>
        </w:r>
        <w:r w:rsidR="00271C2A">
          <w:rPr>
            <w:noProof/>
            <w:webHidden/>
          </w:rPr>
          <w:fldChar w:fldCharType="end"/>
        </w:r>
      </w:hyperlink>
    </w:p>
    <w:p w14:paraId="18C464CB"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0" w:history="1">
        <w:r w:rsidR="00271C2A" w:rsidRPr="005A36DB">
          <w:rPr>
            <w:rStyle w:val="Hyperlink"/>
            <w:noProof/>
          </w:rPr>
          <w:t>8.3.2</w:t>
        </w:r>
        <w:r w:rsidR="00271C2A">
          <w:rPr>
            <w:rFonts w:eastAsiaTheme="minorEastAsia"/>
            <w:noProof/>
            <w:sz w:val="22"/>
            <w:szCs w:val="22"/>
            <w:lang w:eastAsia="de-DE"/>
          </w:rPr>
          <w:tab/>
        </w:r>
        <w:r w:rsidR="00271C2A" w:rsidRPr="005A36DB">
          <w:rPr>
            <w:rStyle w:val="Hyperlink"/>
            <w:noProof/>
          </w:rPr>
          <w:t>Maskierung/Ersetzung</w:t>
        </w:r>
        <w:r w:rsidR="00271C2A">
          <w:rPr>
            <w:noProof/>
            <w:webHidden/>
          </w:rPr>
          <w:tab/>
        </w:r>
        <w:r w:rsidR="00271C2A">
          <w:rPr>
            <w:noProof/>
            <w:webHidden/>
          </w:rPr>
          <w:fldChar w:fldCharType="begin"/>
        </w:r>
        <w:r w:rsidR="00271C2A">
          <w:rPr>
            <w:noProof/>
            <w:webHidden/>
          </w:rPr>
          <w:instrText xml:space="preserve"> PAGEREF _Toc517507970 \h </w:instrText>
        </w:r>
        <w:r w:rsidR="00271C2A">
          <w:rPr>
            <w:noProof/>
            <w:webHidden/>
          </w:rPr>
        </w:r>
        <w:r w:rsidR="00271C2A">
          <w:rPr>
            <w:noProof/>
            <w:webHidden/>
          </w:rPr>
          <w:fldChar w:fldCharType="separate"/>
        </w:r>
        <w:r w:rsidR="00072F0D">
          <w:rPr>
            <w:noProof/>
            <w:webHidden/>
          </w:rPr>
          <w:t>21</w:t>
        </w:r>
        <w:r w:rsidR="00271C2A">
          <w:rPr>
            <w:noProof/>
            <w:webHidden/>
          </w:rPr>
          <w:fldChar w:fldCharType="end"/>
        </w:r>
      </w:hyperlink>
    </w:p>
    <w:p w14:paraId="415B7027"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1" w:history="1">
        <w:r w:rsidR="00271C2A" w:rsidRPr="005A36DB">
          <w:rPr>
            <w:rStyle w:val="Hyperlink"/>
            <w:noProof/>
          </w:rPr>
          <w:t>8.3.3</w:t>
        </w:r>
        <w:r w:rsidR="00271C2A">
          <w:rPr>
            <w:rFonts w:eastAsiaTheme="minorEastAsia"/>
            <w:noProof/>
            <w:sz w:val="22"/>
            <w:szCs w:val="22"/>
            <w:lang w:eastAsia="de-DE"/>
          </w:rPr>
          <w:tab/>
        </w:r>
        <w:r w:rsidR="00271C2A" w:rsidRPr="005A36DB">
          <w:rPr>
            <w:rStyle w:val="Hyperlink"/>
            <w:noProof/>
          </w:rPr>
          <w:t>Mischung/</w:t>
        </w:r>
        <w:r w:rsidR="00271C2A" w:rsidRPr="006C6D59">
          <w:rPr>
            <w:rStyle w:val="Hyperlink"/>
            <w:noProof/>
          </w:rPr>
          <w:t>Shuffeling</w:t>
        </w:r>
        <w:r w:rsidR="00271C2A">
          <w:rPr>
            <w:noProof/>
            <w:webHidden/>
          </w:rPr>
          <w:tab/>
        </w:r>
        <w:r w:rsidR="00271C2A">
          <w:rPr>
            <w:noProof/>
            <w:webHidden/>
          </w:rPr>
          <w:fldChar w:fldCharType="begin"/>
        </w:r>
        <w:r w:rsidR="00271C2A">
          <w:rPr>
            <w:noProof/>
            <w:webHidden/>
          </w:rPr>
          <w:instrText xml:space="preserve"> PAGEREF _Toc517507971 \h </w:instrText>
        </w:r>
        <w:r w:rsidR="00271C2A">
          <w:rPr>
            <w:noProof/>
            <w:webHidden/>
          </w:rPr>
        </w:r>
        <w:r w:rsidR="00271C2A">
          <w:rPr>
            <w:noProof/>
            <w:webHidden/>
          </w:rPr>
          <w:fldChar w:fldCharType="separate"/>
        </w:r>
        <w:r w:rsidR="00072F0D">
          <w:rPr>
            <w:noProof/>
            <w:webHidden/>
          </w:rPr>
          <w:t>22</w:t>
        </w:r>
        <w:r w:rsidR="00271C2A">
          <w:rPr>
            <w:noProof/>
            <w:webHidden/>
          </w:rPr>
          <w:fldChar w:fldCharType="end"/>
        </w:r>
      </w:hyperlink>
    </w:p>
    <w:p w14:paraId="6BEA5FAF"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2" w:history="1">
        <w:r w:rsidR="00271C2A" w:rsidRPr="005A36DB">
          <w:rPr>
            <w:rStyle w:val="Hyperlink"/>
            <w:noProof/>
          </w:rPr>
          <w:t>8.3.4</w:t>
        </w:r>
        <w:r w:rsidR="00271C2A">
          <w:rPr>
            <w:rFonts w:eastAsiaTheme="minorEastAsia"/>
            <w:noProof/>
            <w:sz w:val="22"/>
            <w:szCs w:val="22"/>
            <w:lang w:eastAsia="de-DE"/>
          </w:rPr>
          <w:tab/>
        </w:r>
        <w:r w:rsidR="00271C2A" w:rsidRPr="005A36DB">
          <w:rPr>
            <w:rStyle w:val="Hyperlink"/>
            <w:noProof/>
          </w:rPr>
          <w:t>Varianzmethode</w:t>
        </w:r>
        <w:r w:rsidR="00271C2A">
          <w:rPr>
            <w:noProof/>
            <w:webHidden/>
          </w:rPr>
          <w:tab/>
        </w:r>
        <w:r w:rsidR="00271C2A">
          <w:rPr>
            <w:noProof/>
            <w:webHidden/>
          </w:rPr>
          <w:fldChar w:fldCharType="begin"/>
        </w:r>
        <w:r w:rsidR="00271C2A">
          <w:rPr>
            <w:noProof/>
            <w:webHidden/>
          </w:rPr>
          <w:instrText xml:space="preserve"> PAGEREF _Toc517507972 \h </w:instrText>
        </w:r>
        <w:r w:rsidR="00271C2A">
          <w:rPr>
            <w:noProof/>
            <w:webHidden/>
          </w:rPr>
        </w:r>
        <w:r w:rsidR="00271C2A">
          <w:rPr>
            <w:noProof/>
            <w:webHidden/>
          </w:rPr>
          <w:fldChar w:fldCharType="separate"/>
        </w:r>
        <w:r w:rsidR="00072F0D">
          <w:rPr>
            <w:noProof/>
            <w:webHidden/>
          </w:rPr>
          <w:t>23</w:t>
        </w:r>
        <w:r w:rsidR="00271C2A">
          <w:rPr>
            <w:noProof/>
            <w:webHidden/>
          </w:rPr>
          <w:fldChar w:fldCharType="end"/>
        </w:r>
      </w:hyperlink>
    </w:p>
    <w:p w14:paraId="19659C69"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3" w:history="1">
        <w:r w:rsidR="00271C2A" w:rsidRPr="005A36DB">
          <w:rPr>
            <w:rStyle w:val="Hyperlink"/>
            <w:noProof/>
          </w:rPr>
          <w:t>8.3.5</w:t>
        </w:r>
        <w:r w:rsidR="00271C2A">
          <w:rPr>
            <w:rFonts w:eastAsiaTheme="minorEastAsia"/>
            <w:noProof/>
            <w:sz w:val="22"/>
            <w:szCs w:val="22"/>
            <w:lang w:eastAsia="de-DE"/>
          </w:rPr>
          <w:tab/>
        </w:r>
        <w:r w:rsidR="00271C2A" w:rsidRPr="00F215B1">
          <w:rPr>
            <w:rStyle w:val="Hyperlink"/>
            <w:noProof/>
          </w:rPr>
          <w:t>Kryptografische</w:t>
        </w:r>
        <w:r w:rsidR="00271C2A" w:rsidRPr="005A36DB">
          <w:rPr>
            <w:rStyle w:val="Hyperlink"/>
            <w:noProof/>
          </w:rPr>
          <w:t xml:space="preserve"> Methoden</w:t>
        </w:r>
        <w:r w:rsidR="00271C2A">
          <w:rPr>
            <w:noProof/>
            <w:webHidden/>
          </w:rPr>
          <w:tab/>
        </w:r>
        <w:r w:rsidR="00271C2A">
          <w:rPr>
            <w:noProof/>
            <w:webHidden/>
          </w:rPr>
          <w:fldChar w:fldCharType="begin"/>
        </w:r>
        <w:r w:rsidR="00271C2A">
          <w:rPr>
            <w:noProof/>
            <w:webHidden/>
          </w:rPr>
          <w:instrText xml:space="preserve"> PAGEREF _Toc517507973 \h </w:instrText>
        </w:r>
        <w:r w:rsidR="00271C2A">
          <w:rPr>
            <w:noProof/>
            <w:webHidden/>
          </w:rPr>
        </w:r>
        <w:r w:rsidR="00271C2A">
          <w:rPr>
            <w:noProof/>
            <w:webHidden/>
          </w:rPr>
          <w:fldChar w:fldCharType="separate"/>
        </w:r>
        <w:r w:rsidR="00072F0D">
          <w:rPr>
            <w:noProof/>
            <w:webHidden/>
          </w:rPr>
          <w:t>23</w:t>
        </w:r>
        <w:r w:rsidR="00271C2A">
          <w:rPr>
            <w:noProof/>
            <w:webHidden/>
          </w:rPr>
          <w:fldChar w:fldCharType="end"/>
        </w:r>
      </w:hyperlink>
    </w:p>
    <w:p w14:paraId="6A2E27E8"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4" w:history="1">
        <w:r w:rsidR="00271C2A" w:rsidRPr="005A36DB">
          <w:rPr>
            <w:rStyle w:val="Hyperlink"/>
            <w:noProof/>
          </w:rPr>
          <w:t>8.3.6</w:t>
        </w:r>
        <w:r w:rsidR="00271C2A">
          <w:rPr>
            <w:rFonts w:eastAsiaTheme="minorEastAsia"/>
            <w:noProof/>
            <w:sz w:val="22"/>
            <w:szCs w:val="22"/>
            <w:lang w:eastAsia="de-DE"/>
          </w:rPr>
          <w:tab/>
        </w:r>
        <w:r w:rsidR="00271C2A" w:rsidRPr="005A36DB">
          <w:rPr>
            <w:rStyle w:val="Hyperlink"/>
            <w:noProof/>
          </w:rPr>
          <w:t>Was wird wann mit welcher Methode erreicht?</w:t>
        </w:r>
        <w:r w:rsidR="00271C2A">
          <w:rPr>
            <w:noProof/>
            <w:webHidden/>
          </w:rPr>
          <w:tab/>
        </w:r>
        <w:r w:rsidR="00271C2A" w:rsidRPr="00F215B1">
          <w:rPr>
            <w:noProof/>
            <w:webHidden/>
          </w:rPr>
          <w:fldChar w:fldCharType="begin"/>
        </w:r>
        <w:r w:rsidR="00271C2A" w:rsidRPr="00F215B1">
          <w:rPr>
            <w:noProof/>
            <w:webHidden/>
          </w:rPr>
          <w:instrText xml:space="preserve"> PAGEREF _Toc517507974 \h </w:instrText>
        </w:r>
        <w:r w:rsidR="00271C2A" w:rsidRPr="00F215B1">
          <w:rPr>
            <w:noProof/>
            <w:webHidden/>
          </w:rPr>
        </w:r>
        <w:r w:rsidR="00271C2A" w:rsidRPr="00F215B1">
          <w:rPr>
            <w:noProof/>
            <w:webHidden/>
          </w:rPr>
          <w:fldChar w:fldCharType="separate"/>
        </w:r>
        <w:r w:rsidR="00072F0D">
          <w:rPr>
            <w:noProof/>
            <w:webHidden/>
          </w:rPr>
          <w:t>25</w:t>
        </w:r>
        <w:r w:rsidR="00271C2A" w:rsidRPr="00F215B1">
          <w:rPr>
            <w:noProof/>
            <w:webHidden/>
          </w:rPr>
          <w:fldChar w:fldCharType="end"/>
        </w:r>
      </w:hyperlink>
    </w:p>
    <w:p w14:paraId="07BDDF3A"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5" w:history="1">
        <w:r w:rsidR="00271C2A" w:rsidRPr="005A36DB">
          <w:rPr>
            <w:rStyle w:val="Hyperlink"/>
            <w:noProof/>
          </w:rPr>
          <w:t>8.3.7</w:t>
        </w:r>
        <w:r w:rsidR="00271C2A">
          <w:rPr>
            <w:rFonts w:eastAsiaTheme="minorEastAsia"/>
            <w:noProof/>
            <w:sz w:val="22"/>
            <w:szCs w:val="22"/>
            <w:lang w:eastAsia="de-DE"/>
          </w:rPr>
          <w:tab/>
        </w:r>
        <w:r w:rsidR="00271C2A" w:rsidRPr="005A36DB">
          <w:rPr>
            <w:rStyle w:val="Hyperlink"/>
            <w:noProof/>
          </w:rPr>
          <w:t>k-Anonymität</w:t>
        </w:r>
        <w:r w:rsidR="00271C2A">
          <w:rPr>
            <w:noProof/>
            <w:webHidden/>
          </w:rPr>
          <w:tab/>
        </w:r>
        <w:r w:rsidR="00271C2A">
          <w:rPr>
            <w:noProof/>
            <w:webHidden/>
          </w:rPr>
          <w:fldChar w:fldCharType="begin"/>
        </w:r>
        <w:r w:rsidR="00271C2A">
          <w:rPr>
            <w:noProof/>
            <w:webHidden/>
          </w:rPr>
          <w:instrText xml:space="preserve"> PAGEREF _Toc517507975 \h </w:instrText>
        </w:r>
        <w:r w:rsidR="00271C2A">
          <w:rPr>
            <w:noProof/>
            <w:webHidden/>
          </w:rPr>
        </w:r>
        <w:r w:rsidR="00271C2A">
          <w:rPr>
            <w:noProof/>
            <w:webHidden/>
          </w:rPr>
          <w:fldChar w:fldCharType="separate"/>
        </w:r>
        <w:r w:rsidR="00072F0D">
          <w:rPr>
            <w:noProof/>
            <w:webHidden/>
          </w:rPr>
          <w:t>26</w:t>
        </w:r>
        <w:r w:rsidR="00271C2A">
          <w:rPr>
            <w:noProof/>
            <w:webHidden/>
          </w:rPr>
          <w:fldChar w:fldCharType="end"/>
        </w:r>
      </w:hyperlink>
    </w:p>
    <w:p w14:paraId="1A2975C9"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6" w:history="1">
        <w:r w:rsidR="00271C2A" w:rsidRPr="005A36DB">
          <w:rPr>
            <w:rStyle w:val="Hyperlink"/>
            <w:noProof/>
          </w:rPr>
          <w:t>8.3.8</w:t>
        </w:r>
        <w:r w:rsidR="00271C2A">
          <w:rPr>
            <w:rFonts w:eastAsiaTheme="minorEastAsia"/>
            <w:noProof/>
            <w:sz w:val="22"/>
            <w:szCs w:val="22"/>
            <w:lang w:eastAsia="de-DE"/>
          </w:rPr>
          <w:tab/>
        </w:r>
        <w:r w:rsidR="00271C2A" w:rsidRPr="005A36DB">
          <w:rPr>
            <w:rStyle w:val="Hyperlink"/>
            <w:noProof/>
          </w:rPr>
          <w:t>Beispiele bzgl. Vorgehen</w:t>
        </w:r>
        <w:r w:rsidR="00271C2A">
          <w:rPr>
            <w:noProof/>
            <w:webHidden/>
          </w:rPr>
          <w:tab/>
        </w:r>
        <w:r w:rsidR="00271C2A">
          <w:rPr>
            <w:noProof/>
            <w:webHidden/>
          </w:rPr>
          <w:fldChar w:fldCharType="begin"/>
        </w:r>
        <w:r w:rsidR="00271C2A">
          <w:rPr>
            <w:noProof/>
            <w:webHidden/>
          </w:rPr>
          <w:instrText xml:space="preserve"> PAGEREF _Toc517507976 \h </w:instrText>
        </w:r>
        <w:r w:rsidR="00271C2A">
          <w:rPr>
            <w:noProof/>
            <w:webHidden/>
          </w:rPr>
        </w:r>
        <w:r w:rsidR="00271C2A">
          <w:rPr>
            <w:noProof/>
            <w:webHidden/>
          </w:rPr>
          <w:fldChar w:fldCharType="separate"/>
        </w:r>
        <w:r w:rsidR="00072F0D">
          <w:rPr>
            <w:noProof/>
            <w:webHidden/>
          </w:rPr>
          <w:t>26</w:t>
        </w:r>
        <w:r w:rsidR="00271C2A">
          <w:rPr>
            <w:noProof/>
            <w:webHidden/>
          </w:rPr>
          <w:fldChar w:fldCharType="end"/>
        </w:r>
      </w:hyperlink>
    </w:p>
    <w:p w14:paraId="3DEEEE6C" w14:textId="77777777" w:rsidR="00271C2A" w:rsidRDefault="00271C2A">
      <w:pPr>
        <w:jc w:val="left"/>
        <w:rPr>
          <w:rStyle w:val="Hyperlink"/>
          <w:b/>
          <w:bCs/>
          <w:noProof/>
        </w:rPr>
      </w:pPr>
      <w:r>
        <w:rPr>
          <w:rStyle w:val="Hyperlink"/>
          <w:noProof/>
        </w:rPr>
        <w:br w:type="page"/>
      </w:r>
    </w:p>
    <w:p w14:paraId="43985EF6" w14:textId="23A2F71E" w:rsidR="00271C2A" w:rsidRDefault="00C01946">
      <w:pPr>
        <w:pStyle w:val="Verzeichnis2"/>
        <w:tabs>
          <w:tab w:val="left" w:pos="880"/>
          <w:tab w:val="right" w:leader="underscore" w:pos="9062"/>
        </w:tabs>
        <w:rPr>
          <w:rFonts w:eastAsiaTheme="minorEastAsia"/>
          <w:b w:val="0"/>
          <w:bCs w:val="0"/>
          <w:noProof/>
          <w:lang w:eastAsia="de-DE"/>
        </w:rPr>
      </w:pPr>
      <w:hyperlink w:anchor="_Toc517507977" w:history="1">
        <w:r w:rsidR="00271C2A" w:rsidRPr="005A36DB">
          <w:rPr>
            <w:rStyle w:val="Hyperlink"/>
            <w:noProof/>
          </w:rPr>
          <w:t>8.4</w:t>
        </w:r>
        <w:r w:rsidR="00271C2A">
          <w:rPr>
            <w:rFonts w:eastAsiaTheme="minorEastAsia"/>
            <w:b w:val="0"/>
            <w:bCs w:val="0"/>
            <w:noProof/>
            <w:lang w:eastAsia="de-DE"/>
          </w:rPr>
          <w:tab/>
        </w:r>
        <w:r w:rsidR="00271C2A" w:rsidRPr="005A36DB">
          <w:rPr>
            <w:rStyle w:val="Hyperlink"/>
            <w:noProof/>
          </w:rPr>
          <w:t>Darstellung des Risikos der Re-Identifizierung</w:t>
        </w:r>
        <w:r w:rsidR="00271C2A">
          <w:rPr>
            <w:noProof/>
            <w:webHidden/>
          </w:rPr>
          <w:tab/>
        </w:r>
        <w:r w:rsidR="00271C2A">
          <w:rPr>
            <w:noProof/>
            <w:webHidden/>
          </w:rPr>
          <w:fldChar w:fldCharType="begin"/>
        </w:r>
        <w:r w:rsidR="00271C2A">
          <w:rPr>
            <w:noProof/>
            <w:webHidden/>
          </w:rPr>
          <w:instrText xml:space="preserve"> PAGEREF _Toc517507977 \h </w:instrText>
        </w:r>
        <w:r w:rsidR="00271C2A">
          <w:rPr>
            <w:noProof/>
            <w:webHidden/>
          </w:rPr>
        </w:r>
        <w:r w:rsidR="00271C2A">
          <w:rPr>
            <w:noProof/>
            <w:webHidden/>
          </w:rPr>
          <w:fldChar w:fldCharType="separate"/>
        </w:r>
        <w:r w:rsidR="00072F0D">
          <w:rPr>
            <w:noProof/>
            <w:webHidden/>
          </w:rPr>
          <w:t>27</w:t>
        </w:r>
        <w:r w:rsidR="00271C2A">
          <w:rPr>
            <w:noProof/>
            <w:webHidden/>
          </w:rPr>
          <w:fldChar w:fldCharType="end"/>
        </w:r>
      </w:hyperlink>
    </w:p>
    <w:p w14:paraId="477FCD06"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8" w:history="1">
        <w:r w:rsidR="00271C2A" w:rsidRPr="005A36DB">
          <w:rPr>
            <w:rStyle w:val="Hyperlink"/>
            <w:noProof/>
          </w:rPr>
          <w:t>8.4.1</w:t>
        </w:r>
        <w:r w:rsidR="00271C2A">
          <w:rPr>
            <w:rFonts w:eastAsiaTheme="minorEastAsia"/>
            <w:noProof/>
            <w:sz w:val="22"/>
            <w:szCs w:val="22"/>
            <w:lang w:eastAsia="de-DE"/>
          </w:rPr>
          <w:tab/>
        </w:r>
        <w:r w:rsidR="00271C2A" w:rsidRPr="005A36DB">
          <w:rPr>
            <w:rStyle w:val="Hyperlink"/>
            <w:noProof/>
          </w:rPr>
          <w:t>Risikodarstellung</w:t>
        </w:r>
        <w:r w:rsidR="00271C2A">
          <w:rPr>
            <w:noProof/>
            <w:webHidden/>
          </w:rPr>
          <w:tab/>
        </w:r>
        <w:r w:rsidR="00271C2A">
          <w:rPr>
            <w:noProof/>
            <w:webHidden/>
          </w:rPr>
          <w:fldChar w:fldCharType="begin"/>
        </w:r>
        <w:r w:rsidR="00271C2A">
          <w:rPr>
            <w:noProof/>
            <w:webHidden/>
          </w:rPr>
          <w:instrText xml:space="preserve"> PAGEREF _Toc517507978 \h </w:instrText>
        </w:r>
        <w:r w:rsidR="00271C2A">
          <w:rPr>
            <w:noProof/>
            <w:webHidden/>
          </w:rPr>
        </w:r>
        <w:r w:rsidR="00271C2A">
          <w:rPr>
            <w:noProof/>
            <w:webHidden/>
          </w:rPr>
          <w:fldChar w:fldCharType="separate"/>
        </w:r>
        <w:r w:rsidR="00072F0D">
          <w:rPr>
            <w:noProof/>
            <w:webHidden/>
          </w:rPr>
          <w:t>27</w:t>
        </w:r>
        <w:r w:rsidR="00271C2A">
          <w:rPr>
            <w:noProof/>
            <w:webHidden/>
          </w:rPr>
          <w:fldChar w:fldCharType="end"/>
        </w:r>
      </w:hyperlink>
    </w:p>
    <w:p w14:paraId="0CE927DD"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79" w:history="1">
        <w:r w:rsidR="00271C2A" w:rsidRPr="005A36DB">
          <w:rPr>
            <w:rStyle w:val="Hyperlink"/>
            <w:noProof/>
          </w:rPr>
          <w:t>8.4.2</w:t>
        </w:r>
        <w:r w:rsidR="00271C2A">
          <w:rPr>
            <w:rFonts w:eastAsiaTheme="minorEastAsia"/>
            <w:noProof/>
            <w:sz w:val="22"/>
            <w:szCs w:val="22"/>
            <w:lang w:eastAsia="de-DE"/>
          </w:rPr>
          <w:tab/>
        </w:r>
        <w:r w:rsidR="00271C2A" w:rsidRPr="005A36DB">
          <w:rPr>
            <w:rStyle w:val="Hyperlink"/>
            <w:noProof/>
          </w:rPr>
          <w:t>Grundbedingung für eine Prüfung</w:t>
        </w:r>
        <w:r w:rsidR="00271C2A">
          <w:rPr>
            <w:noProof/>
            <w:webHidden/>
          </w:rPr>
          <w:tab/>
        </w:r>
        <w:r w:rsidR="00271C2A">
          <w:rPr>
            <w:noProof/>
            <w:webHidden/>
          </w:rPr>
          <w:fldChar w:fldCharType="begin"/>
        </w:r>
        <w:r w:rsidR="00271C2A">
          <w:rPr>
            <w:noProof/>
            <w:webHidden/>
          </w:rPr>
          <w:instrText xml:space="preserve"> PAGEREF _Toc517507979 \h </w:instrText>
        </w:r>
        <w:r w:rsidR="00271C2A">
          <w:rPr>
            <w:noProof/>
            <w:webHidden/>
          </w:rPr>
        </w:r>
        <w:r w:rsidR="00271C2A">
          <w:rPr>
            <w:noProof/>
            <w:webHidden/>
          </w:rPr>
          <w:fldChar w:fldCharType="separate"/>
        </w:r>
        <w:r w:rsidR="00072F0D">
          <w:rPr>
            <w:noProof/>
            <w:webHidden/>
          </w:rPr>
          <w:t>28</w:t>
        </w:r>
        <w:r w:rsidR="00271C2A">
          <w:rPr>
            <w:noProof/>
            <w:webHidden/>
          </w:rPr>
          <w:fldChar w:fldCharType="end"/>
        </w:r>
      </w:hyperlink>
    </w:p>
    <w:p w14:paraId="67AB041A"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80" w:history="1">
        <w:r w:rsidR="00271C2A" w:rsidRPr="005A36DB">
          <w:rPr>
            <w:rStyle w:val="Hyperlink"/>
            <w:noProof/>
          </w:rPr>
          <w:t>8.4.3</w:t>
        </w:r>
        <w:r w:rsidR="00271C2A">
          <w:rPr>
            <w:rFonts w:eastAsiaTheme="minorEastAsia"/>
            <w:noProof/>
            <w:sz w:val="22"/>
            <w:szCs w:val="22"/>
            <w:lang w:eastAsia="de-DE"/>
          </w:rPr>
          <w:tab/>
        </w:r>
        <w:r w:rsidR="00271C2A" w:rsidRPr="005A36DB">
          <w:rPr>
            <w:rStyle w:val="Hyperlink"/>
            <w:noProof/>
          </w:rPr>
          <w:t>Risikobeurteilung</w:t>
        </w:r>
        <w:r w:rsidR="00271C2A">
          <w:rPr>
            <w:noProof/>
            <w:webHidden/>
          </w:rPr>
          <w:tab/>
        </w:r>
        <w:r w:rsidR="00271C2A">
          <w:rPr>
            <w:noProof/>
            <w:webHidden/>
          </w:rPr>
          <w:fldChar w:fldCharType="begin"/>
        </w:r>
        <w:r w:rsidR="00271C2A">
          <w:rPr>
            <w:noProof/>
            <w:webHidden/>
          </w:rPr>
          <w:instrText xml:space="preserve"> PAGEREF _Toc517507980 \h </w:instrText>
        </w:r>
        <w:r w:rsidR="00271C2A">
          <w:rPr>
            <w:noProof/>
            <w:webHidden/>
          </w:rPr>
        </w:r>
        <w:r w:rsidR="00271C2A">
          <w:rPr>
            <w:noProof/>
            <w:webHidden/>
          </w:rPr>
          <w:fldChar w:fldCharType="separate"/>
        </w:r>
        <w:r w:rsidR="00072F0D">
          <w:rPr>
            <w:noProof/>
            <w:webHidden/>
          </w:rPr>
          <w:t>29</w:t>
        </w:r>
        <w:r w:rsidR="00271C2A">
          <w:rPr>
            <w:noProof/>
            <w:webHidden/>
          </w:rPr>
          <w:fldChar w:fldCharType="end"/>
        </w:r>
      </w:hyperlink>
    </w:p>
    <w:p w14:paraId="26C949D7"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1" w:history="1">
        <w:r w:rsidR="00271C2A" w:rsidRPr="005A36DB">
          <w:rPr>
            <w:rStyle w:val="Hyperlink"/>
            <w:noProof/>
          </w:rPr>
          <w:t>8.5</w:t>
        </w:r>
        <w:r w:rsidR="00271C2A">
          <w:rPr>
            <w:rFonts w:eastAsiaTheme="minorEastAsia"/>
            <w:b w:val="0"/>
            <w:bCs w:val="0"/>
            <w:noProof/>
            <w:lang w:eastAsia="de-DE"/>
          </w:rPr>
          <w:tab/>
        </w:r>
        <w:r w:rsidR="00271C2A" w:rsidRPr="005A36DB">
          <w:rPr>
            <w:rStyle w:val="Hyperlink"/>
            <w:noProof/>
          </w:rPr>
          <w:t>Aufbau und Struktur einer Verfahrensbeschreibung</w:t>
        </w:r>
        <w:r w:rsidR="00271C2A">
          <w:rPr>
            <w:noProof/>
            <w:webHidden/>
          </w:rPr>
          <w:tab/>
        </w:r>
        <w:r w:rsidR="00271C2A">
          <w:rPr>
            <w:noProof/>
            <w:webHidden/>
          </w:rPr>
          <w:fldChar w:fldCharType="begin"/>
        </w:r>
        <w:r w:rsidR="00271C2A">
          <w:rPr>
            <w:noProof/>
            <w:webHidden/>
          </w:rPr>
          <w:instrText xml:space="preserve"> PAGEREF _Toc517507981 \h </w:instrText>
        </w:r>
        <w:r w:rsidR="00271C2A">
          <w:rPr>
            <w:noProof/>
            <w:webHidden/>
          </w:rPr>
        </w:r>
        <w:r w:rsidR="00271C2A">
          <w:rPr>
            <w:noProof/>
            <w:webHidden/>
          </w:rPr>
          <w:fldChar w:fldCharType="separate"/>
        </w:r>
        <w:r w:rsidR="00072F0D">
          <w:rPr>
            <w:noProof/>
            <w:webHidden/>
          </w:rPr>
          <w:t>29</w:t>
        </w:r>
        <w:r w:rsidR="00271C2A">
          <w:rPr>
            <w:noProof/>
            <w:webHidden/>
          </w:rPr>
          <w:fldChar w:fldCharType="end"/>
        </w:r>
      </w:hyperlink>
    </w:p>
    <w:p w14:paraId="13228244" w14:textId="77777777" w:rsidR="00271C2A" w:rsidRDefault="00C01946">
      <w:pPr>
        <w:pStyle w:val="Verzeichnis1"/>
        <w:tabs>
          <w:tab w:val="left" w:pos="440"/>
          <w:tab w:val="right" w:leader="underscore" w:pos="9062"/>
        </w:tabs>
        <w:rPr>
          <w:rFonts w:eastAsiaTheme="minorEastAsia"/>
          <w:b w:val="0"/>
          <w:bCs w:val="0"/>
          <w:iCs w:val="0"/>
          <w:noProof/>
          <w:sz w:val="22"/>
          <w:szCs w:val="22"/>
          <w:lang w:eastAsia="de-DE"/>
        </w:rPr>
      </w:pPr>
      <w:hyperlink w:anchor="_Toc517507982" w:history="1">
        <w:r w:rsidR="00271C2A" w:rsidRPr="005A36DB">
          <w:rPr>
            <w:rStyle w:val="Hyperlink"/>
            <w:noProof/>
          </w:rPr>
          <w:t>9</w:t>
        </w:r>
        <w:r w:rsidR="00271C2A">
          <w:rPr>
            <w:rFonts w:eastAsiaTheme="minorEastAsia"/>
            <w:b w:val="0"/>
            <w:bCs w:val="0"/>
            <w:iCs w:val="0"/>
            <w:noProof/>
            <w:sz w:val="22"/>
            <w:szCs w:val="22"/>
            <w:lang w:eastAsia="de-DE"/>
          </w:rPr>
          <w:tab/>
        </w:r>
        <w:r w:rsidR="00271C2A" w:rsidRPr="005A36DB">
          <w:rPr>
            <w:rStyle w:val="Hyperlink"/>
            <w:noProof/>
          </w:rPr>
          <w:t>Checkliste</w:t>
        </w:r>
        <w:r w:rsidR="00271C2A">
          <w:rPr>
            <w:noProof/>
            <w:webHidden/>
          </w:rPr>
          <w:tab/>
        </w:r>
        <w:r w:rsidR="00271C2A">
          <w:rPr>
            <w:noProof/>
            <w:webHidden/>
          </w:rPr>
          <w:fldChar w:fldCharType="begin"/>
        </w:r>
        <w:r w:rsidR="00271C2A">
          <w:rPr>
            <w:noProof/>
            <w:webHidden/>
          </w:rPr>
          <w:instrText xml:space="preserve"> PAGEREF _Toc517507982 \h </w:instrText>
        </w:r>
        <w:r w:rsidR="00271C2A">
          <w:rPr>
            <w:noProof/>
            <w:webHidden/>
          </w:rPr>
        </w:r>
        <w:r w:rsidR="00271C2A">
          <w:rPr>
            <w:noProof/>
            <w:webHidden/>
          </w:rPr>
          <w:fldChar w:fldCharType="separate"/>
        </w:r>
        <w:r w:rsidR="00072F0D">
          <w:rPr>
            <w:noProof/>
            <w:webHidden/>
          </w:rPr>
          <w:t>32</w:t>
        </w:r>
        <w:r w:rsidR="00271C2A">
          <w:rPr>
            <w:noProof/>
            <w:webHidden/>
          </w:rPr>
          <w:fldChar w:fldCharType="end"/>
        </w:r>
      </w:hyperlink>
    </w:p>
    <w:p w14:paraId="2DEC3748"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3" w:history="1">
        <w:r w:rsidR="00271C2A" w:rsidRPr="005A36DB">
          <w:rPr>
            <w:rStyle w:val="Hyperlink"/>
            <w:noProof/>
          </w:rPr>
          <w:t>9.1</w:t>
        </w:r>
        <w:r w:rsidR="00271C2A">
          <w:rPr>
            <w:rFonts w:eastAsiaTheme="minorEastAsia"/>
            <w:b w:val="0"/>
            <w:bCs w:val="0"/>
            <w:noProof/>
            <w:lang w:eastAsia="de-DE"/>
          </w:rPr>
          <w:tab/>
        </w:r>
        <w:r w:rsidR="00271C2A" w:rsidRPr="005A36DB">
          <w:rPr>
            <w:rStyle w:val="Hyperlink"/>
            <w:noProof/>
          </w:rPr>
          <w:t>Organisatorische Anforderungen</w:t>
        </w:r>
        <w:r w:rsidR="00271C2A">
          <w:rPr>
            <w:noProof/>
            <w:webHidden/>
          </w:rPr>
          <w:tab/>
        </w:r>
        <w:r w:rsidR="00271C2A">
          <w:rPr>
            <w:noProof/>
            <w:webHidden/>
          </w:rPr>
          <w:fldChar w:fldCharType="begin"/>
        </w:r>
        <w:r w:rsidR="00271C2A">
          <w:rPr>
            <w:noProof/>
            <w:webHidden/>
          </w:rPr>
          <w:instrText xml:space="preserve"> PAGEREF _Toc517507983 \h </w:instrText>
        </w:r>
        <w:r w:rsidR="00271C2A">
          <w:rPr>
            <w:noProof/>
            <w:webHidden/>
          </w:rPr>
        </w:r>
        <w:r w:rsidR="00271C2A">
          <w:rPr>
            <w:noProof/>
            <w:webHidden/>
          </w:rPr>
          <w:fldChar w:fldCharType="separate"/>
        </w:r>
        <w:r w:rsidR="00072F0D">
          <w:rPr>
            <w:noProof/>
            <w:webHidden/>
          </w:rPr>
          <w:t>32</w:t>
        </w:r>
        <w:r w:rsidR="00271C2A">
          <w:rPr>
            <w:noProof/>
            <w:webHidden/>
          </w:rPr>
          <w:fldChar w:fldCharType="end"/>
        </w:r>
      </w:hyperlink>
    </w:p>
    <w:p w14:paraId="5A11910F"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4" w:history="1">
        <w:r w:rsidR="00271C2A" w:rsidRPr="005A36DB">
          <w:rPr>
            <w:rStyle w:val="Hyperlink"/>
            <w:noProof/>
          </w:rPr>
          <w:t>9.2</w:t>
        </w:r>
        <w:r w:rsidR="00271C2A">
          <w:rPr>
            <w:rFonts w:eastAsiaTheme="minorEastAsia"/>
            <w:b w:val="0"/>
            <w:bCs w:val="0"/>
            <w:noProof/>
            <w:lang w:eastAsia="de-DE"/>
          </w:rPr>
          <w:tab/>
        </w:r>
        <w:r w:rsidR="00271C2A" w:rsidRPr="005A36DB">
          <w:rPr>
            <w:rStyle w:val="Hyperlink"/>
            <w:noProof/>
          </w:rPr>
          <w:t>Vorgaben für das Verfahren</w:t>
        </w:r>
        <w:r w:rsidR="00271C2A">
          <w:rPr>
            <w:noProof/>
            <w:webHidden/>
          </w:rPr>
          <w:tab/>
        </w:r>
        <w:r w:rsidR="00271C2A">
          <w:rPr>
            <w:noProof/>
            <w:webHidden/>
          </w:rPr>
          <w:fldChar w:fldCharType="begin"/>
        </w:r>
        <w:r w:rsidR="00271C2A">
          <w:rPr>
            <w:noProof/>
            <w:webHidden/>
          </w:rPr>
          <w:instrText xml:space="preserve"> PAGEREF _Toc517507984 \h </w:instrText>
        </w:r>
        <w:r w:rsidR="00271C2A">
          <w:rPr>
            <w:noProof/>
            <w:webHidden/>
          </w:rPr>
        </w:r>
        <w:r w:rsidR="00271C2A">
          <w:rPr>
            <w:noProof/>
            <w:webHidden/>
          </w:rPr>
          <w:fldChar w:fldCharType="separate"/>
        </w:r>
        <w:r w:rsidR="00072F0D">
          <w:rPr>
            <w:noProof/>
            <w:webHidden/>
          </w:rPr>
          <w:t>32</w:t>
        </w:r>
        <w:r w:rsidR="00271C2A">
          <w:rPr>
            <w:noProof/>
            <w:webHidden/>
          </w:rPr>
          <w:fldChar w:fldCharType="end"/>
        </w:r>
      </w:hyperlink>
    </w:p>
    <w:p w14:paraId="6EF6C65C"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5" w:history="1">
        <w:r w:rsidR="00271C2A" w:rsidRPr="005A36DB">
          <w:rPr>
            <w:rStyle w:val="Hyperlink"/>
            <w:noProof/>
          </w:rPr>
          <w:t>9.3</w:t>
        </w:r>
        <w:r w:rsidR="00271C2A">
          <w:rPr>
            <w:rFonts w:eastAsiaTheme="minorEastAsia"/>
            <w:b w:val="0"/>
            <w:bCs w:val="0"/>
            <w:noProof/>
            <w:lang w:eastAsia="de-DE"/>
          </w:rPr>
          <w:tab/>
        </w:r>
        <w:r w:rsidR="00271C2A" w:rsidRPr="005A36DB">
          <w:rPr>
            <w:rStyle w:val="Hyperlink"/>
            <w:noProof/>
          </w:rPr>
          <w:t>Nichtangabe</w:t>
        </w:r>
        <w:r w:rsidR="00271C2A">
          <w:rPr>
            <w:noProof/>
            <w:webHidden/>
          </w:rPr>
          <w:tab/>
        </w:r>
        <w:r w:rsidR="00271C2A">
          <w:rPr>
            <w:noProof/>
            <w:webHidden/>
          </w:rPr>
          <w:fldChar w:fldCharType="begin"/>
        </w:r>
        <w:r w:rsidR="00271C2A">
          <w:rPr>
            <w:noProof/>
            <w:webHidden/>
          </w:rPr>
          <w:instrText xml:space="preserve"> PAGEREF _Toc517507985 \h </w:instrText>
        </w:r>
        <w:r w:rsidR="00271C2A">
          <w:rPr>
            <w:noProof/>
            <w:webHidden/>
          </w:rPr>
        </w:r>
        <w:r w:rsidR="00271C2A">
          <w:rPr>
            <w:noProof/>
            <w:webHidden/>
          </w:rPr>
          <w:fldChar w:fldCharType="separate"/>
        </w:r>
        <w:r w:rsidR="00072F0D">
          <w:rPr>
            <w:noProof/>
            <w:webHidden/>
          </w:rPr>
          <w:t>33</w:t>
        </w:r>
        <w:r w:rsidR="00271C2A">
          <w:rPr>
            <w:noProof/>
            <w:webHidden/>
          </w:rPr>
          <w:fldChar w:fldCharType="end"/>
        </w:r>
      </w:hyperlink>
    </w:p>
    <w:p w14:paraId="0C24B66E"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6" w:history="1">
        <w:r w:rsidR="00271C2A" w:rsidRPr="005A36DB">
          <w:rPr>
            <w:rStyle w:val="Hyperlink"/>
            <w:noProof/>
          </w:rPr>
          <w:t>9.4</w:t>
        </w:r>
        <w:r w:rsidR="00271C2A">
          <w:rPr>
            <w:rFonts w:eastAsiaTheme="minorEastAsia"/>
            <w:b w:val="0"/>
            <w:bCs w:val="0"/>
            <w:noProof/>
            <w:lang w:eastAsia="de-DE"/>
          </w:rPr>
          <w:tab/>
        </w:r>
        <w:r w:rsidR="00271C2A" w:rsidRPr="005A36DB">
          <w:rPr>
            <w:rStyle w:val="Hyperlink"/>
            <w:noProof/>
          </w:rPr>
          <w:t>Maskierung/Ersetzung</w:t>
        </w:r>
        <w:r w:rsidR="00271C2A">
          <w:rPr>
            <w:noProof/>
            <w:webHidden/>
          </w:rPr>
          <w:tab/>
        </w:r>
        <w:r w:rsidR="00271C2A">
          <w:rPr>
            <w:noProof/>
            <w:webHidden/>
          </w:rPr>
          <w:fldChar w:fldCharType="begin"/>
        </w:r>
        <w:r w:rsidR="00271C2A">
          <w:rPr>
            <w:noProof/>
            <w:webHidden/>
          </w:rPr>
          <w:instrText xml:space="preserve"> PAGEREF _Toc517507986 \h </w:instrText>
        </w:r>
        <w:r w:rsidR="00271C2A">
          <w:rPr>
            <w:noProof/>
            <w:webHidden/>
          </w:rPr>
        </w:r>
        <w:r w:rsidR="00271C2A">
          <w:rPr>
            <w:noProof/>
            <w:webHidden/>
          </w:rPr>
          <w:fldChar w:fldCharType="separate"/>
        </w:r>
        <w:r w:rsidR="00072F0D">
          <w:rPr>
            <w:noProof/>
            <w:webHidden/>
          </w:rPr>
          <w:t>33</w:t>
        </w:r>
        <w:r w:rsidR="00271C2A">
          <w:rPr>
            <w:noProof/>
            <w:webHidden/>
          </w:rPr>
          <w:fldChar w:fldCharType="end"/>
        </w:r>
      </w:hyperlink>
    </w:p>
    <w:p w14:paraId="777748F0"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7" w:history="1">
        <w:r w:rsidR="00271C2A" w:rsidRPr="005A36DB">
          <w:rPr>
            <w:rStyle w:val="Hyperlink"/>
            <w:noProof/>
          </w:rPr>
          <w:t>9.5</w:t>
        </w:r>
        <w:r w:rsidR="00271C2A">
          <w:rPr>
            <w:rFonts w:eastAsiaTheme="minorEastAsia"/>
            <w:b w:val="0"/>
            <w:bCs w:val="0"/>
            <w:noProof/>
            <w:lang w:eastAsia="de-DE"/>
          </w:rPr>
          <w:tab/>
        </w:r>
        <w:r w:rsidR="00271C2A" w:rsidRPr="005A36DB">
          <w:rPr>
            <w:rStyle w:val="Hyperlink"/>
            <w:noProof/>
          </w:rPr>
          <w:t>Mischung/</w:t>
        </w:r>
        <w:r w:rsidR="00271C2A" w:rsidRPr="006C6D59">
          <w:rPr>
            <w:rStyle w:val="Hyperlink"/>
            <w:noProof/>
          </w:rPr>
          <w:t>Shuffeling</w:t>
        </w:r>
        <w:r w:rsidR="00271C2A">
          <w:rPr>
            <w:noProof/>
            <w:webHidden/>
          </w:rPr>
          <w:tab/>
        </w:r>
        <w:r w:rsidR="00271C2A">
          <w:rPr>
            <w:noProof/>
            <w:webHidden/>
          </w:rPr>
          <w:fldChar w:fldCharType="begin"/>
        </w:r>
        <w:r w:rsidR="00271C2A">
          <w:rPr>
            <w:noProof/>
            <w:webHidden/>
          </w:rPr>
          <w:instrText xml:space="preserve"> PAGEREF _Toc517507987 \h </w:instrText>
        </w:r>
        <w:r w:rsidR="00271C2A">
          <w:rPr>
            <w:noProof/>
            <w:webHidden/>
          </w:rPr>
        </w:r>
        <w:r w:rsidR="00271C2A">
          <w:rPr>
            <w:noProof/>
            <w:webHidden/>
          </w:rPr>
          <w:fldChar w:fldCharType="separate"/>
        </w:r>
        <w:r w:rsidR="00072F0D">
          <w:rPr>
            <w:noProof/>
            <w:webHidden/>
          </w:rPr>
          <w:t>33</w:t>
        </w:r>
        <w:r w:rsidR="00271C2A">
          <w:rPr>
            <w:noProof/>
            <w:webHidden/>
          </w:rPr>
          <w:fldChar w:fldCharType="end"/>
        </w:r>
      </w:hyperlink>
    </w:p>
    <w:p w14:paraId="36361B1F"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8" w:history="1">
        <w:r w:rsidR="00271C2A" w:rsidRPr="005A36DB">
          <w:rPr>
            <w:rStyle w:val="Hyperlink"/>
            <w:noProof/>
          </w:rPr>
          <w:t>9.6</w:t>
        </w:r>
        <w:r w:rsidR="00271C2A">
          <w:rPr>
            <w:rFonts w:eastAsiaTheme="minorEastAsia"/>
            <w:b w:val="0"/>
            <w:bCs w:val="0"/>
            <w:noProof/>
            <w:lang w:eastAsia="de-DE"/>
          </w:rPr>
          <w:tab/>
        </w:r>
        <w:r w:rsidR="00271C2A" w:rsidRPr="005A36DB">
          <w:rPr>
            <w:rStyle w:val="Hyperlink"/>
            <w:noProof/>
          </w:rPr>
          <w:t>Varianzmethode</w:t>
        </w:r>
        <w:r w:rsidR="00271C2A">
          <w:rPr>
            <w:noProof/>
            <w:webHidden/>
          </w:rPr>
          <w:tab/>
        </w:r>
        <w:r w:rsidR="00271C2A">
          <w:rPr>
            <w:noProof/>
            <w:webHidden/>
          </w:rPr>
          <w:fldChar w:fldCharType="begin"/>
        </w:r>
        <w:r w:rsidR="00271C2A">
          <w:rPr>
            <w:noProof/>
            <w:webHidden/>
          </w:rPr>
          <w:instrText xml:space="preserve"> PAGEREF _Toc517507988 \h </w:instrText>
        </w:r>
        <w:r w:rsidR="00271C2A">
          <w:rPr>
            <w:noProof/>
            <w:webHidden/>
          </w:rPr>
        </w:r>
        <w:r w:rsidR="00271C2A">
          <w:rPr>
            <w:noProof/>
            <w:webHidden/>
          </w:rPr>
          <w:fldChar w:fldCharType="separate"/>
        </w:r>
        <w:r w:rsidR="00072F0D">
          <w:rPr>
            <w:noProof/>
            <w:webHidden/>
          </w:rPr>
          <w:t>33</w:t>
        </w:r>
        <w:r w:rsidR="00271C2A">
          <w:rPr>
            <w:noProof/>
            <w:webHidden/>
          </w:rPr>
          <w:fldChar w:fldCharType="end"/>
        </w:r>
      </w:hyperlink>
    </w:p>
    <w:p w14:paraId="54BB385F"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89" w:history="1">
        <w:r w:rsidR="00271C2A" w:rsidRPr="005A36DB">
          <w:rPr>
            <w:rStyle w:val="Hyperlink"/>
            <w:noProof/>
          </w:rPr>
          <w:t>9.7</w:t>
        </w:r>
        <w:r w:rsidR="00271C2A">
          <w:rPr>
            <w:rFonts w:eastAsiaTheme="minorEastAsia"/>
            <w:b w:val="0"/>
            <w:bCs w:val="0"/>
            <w:noProof/>
            <w:lang w:eastAsia="de-DE"/>
          </w:rPr>
          <w:tab/>
        </w:r>
        <w:r w:rsidR="00271C2A" w:rsidRPr="005A36DB">
          <w:rPr>
            <w:rStyle w:val="Hyperlink"/>
            <w:noProof/>
          </w:rPr>
          <w:t>Kryptografische Methoden</w:t>
        </w:r>
        <w:r w:rsidR="00271C2A">
          <w:rPr>
            <w:noProof/>
            <w:webHidden/>
          </w:rPr>
          <w:tab/>
        </w:r>
        <w:r w:rsidR="00271C2A">
          <w:rPr>
            <w:noProof/>
            <w:webHidden/>
          </w:rPr>
          <w:fldChar w:fldCharType="begin"/>
        </w:r>
        <w:r w:rsidR="00271C2A">
          <w:rPr>
            <w:noProof/>
            <w:webHidden/>
          </w:rPr>
          <w:instrText xml:space="preserve"> PAGEREF _Toc517507989 \h </w:instrText>
        </w:r>
        <w:r w:rsidR="00271C2A">
          <w:rPr>
            <w:noProof/>
            <w:webHidden/>
          </w:rPr>
        </w:r>
        <w:r w:rsidR="00271C2A">
          <w:rPr>
            <w:noProof/>
            <w:webHidden/>
          </w:rPr>
          <w:fldChar w:fldCharType="separate"/>
        </w:r>
        <w:r w:rsidR="00072F0D">
          <w:rPr>
            <w:noProof/>
            <w:webHidden/>
          </w:rPr>
          <w:t>33</w:t>
        </w:r>
        <w:r w:rsidR="00271C2A">
          <w:rPr>
            <w:noProof/>
            <w:webHidden/>
          </w:rPr>
          <w:fldChar w:fldCharType="end"/>
        </w:r>
      </w:hyperlink>
    </w:p>
    <w:p w14:paraId="2D6E72A0"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90" w:history="1">
        <w:r w:rsidR="00271C2A" w:rsidRPr="005A36DB">
          <w:rPr>
            <w:rStyle w:val="Hyperlink"/>
            <w:noProof/>
          </w:rPr>
          <w:t>9.7.1</w:t>
        </w:r>
        <w:r w:rsidR="00271C2A">
          <w:rPr>
            <w:rFonts w:eastAsiaTheme="minorEastAsia"/>
            <w:noProof/>
            <w:sz w:val="22"/>
            <w:szCs w:val="22"/>
            <w:lang w:eastAsia="de-DE"/>
          </w:rPr>
          <w:tab/>
        </w:r>
        <w:r w:rsidR="00271C2A" w:rsidRPr="005A36DB">
          <w:rPr>
            <w:rStyle w:val="Hyperlink"/>
            <w:noProof/>
          </w:rPr>
          <w:t>Verschlüsselung</w:t>
        </w:r>
        <w:r w:rsidR="00271C2A">
          <w:rPr>
            <w:noProof/>
            <w:webHidden/>
          </w:rPr>
          <w:tab/>
        </w:r>
        <w:r w:rsidR="00271C2A">
          <w:rPr>
            <w:noProof/>
            <w:webHidden/>
          </w:rPr>
          <w:fldChar w:fldCharType="begin"/>
        </w:r>
        <w:r w:rsidR="00271C2A">
          <w:rPr>
            <w:noProof/>
            <w:webHidden/>
          </w:rPr>
          <w:instrText xml:space="preserve"> PAGEREF _Toc517507990 \h </w:instrText>
        </w:r>
        <w:r w:rsidR="00271C2A">
          <w:rPr>
            <w:noProof/>
            <w:webHidden/>
          </w:rPr>
        </w:r>
        <w:r w:rsidR="00271C2A">
          <w:rPr>
            <w:noProof/>
            <w:webHidden/>
          </w:rPr>
          <w:fldChar w:fldCharType="separate"/>
        </w:r>
        <w:r w:rsidR="00072F0D">
          <w:rPr>
            <w:noProof/>
            <w:webHidden/>
          </w:rPr>
          <w:t>33</w:t>
        </w:r>
        <w:r w:rsidR="00271C2A">
          <w:rPr>
            <w:noProof/>
            <w:webHidden/>
          </w:rPr>
          <w:fldChar w:fldCharType="end"/>
        </w:r>
      </w:hyperlink>
    </w:p>
    <w:p w14:paraId="01301D00" w14:textId="77777777" w:rsidR="00271C2A" w:rsidRDefault="00C01946">
      <w:pPr>
        <w:pStyle w:val="Verzeichnis3"/>
        <w:tabs>
          <w:tab w:val="left" w:pos="1100"/>
          <w:tab w:val="right" w:leader="underscore" w:pos="9062"/>
        </w:tabs>
        <w:rPr>
          <w:rFonts w:eastAsiaTheme="minorEastAsia"/>
          <w:noProof/>
          <w:sz w:val="22"/>
          <w:szCs w:val="22"/>
          <w:lang w:eastAsia="de-DE"/>
        </w:rPr>
      </w:pPr>
      <w:hyperlink w:anchor="_Toc517507991" w:history="1">
        <w:r w:rsidR="00271C2A" w:rsidRPr="005A36DB">
          <w:rPr>
            <w:rStyle w:val="Hyperlink"/>
            <w:noProof/>
          </w:rPr>
          <w:t>9.7.2</w:t>
        </w:r>
        <w:r w:rsidR="00271C2A">
          <w:rPr>
            <w:rFonts w:eastAsiaTheme="minorEastAsia"/>
            <w:noProof/>
            <w:sz w:val="22"/>
            <w:szCs w:val="22"/>
            <w:lang w:eastAsia="de-DE"/>
          </w:rPr>
          <w:tab/>
        </w:r>
        <w:r w:rsidR="00271C2A" w:rsidRPr="005A36DB">
          <w:rPr>
            <w:rStyle w:val="Hyperlink"/>
            <w:noProof/>
          </w:rPr>
          <w:t>Hash-Funktionen</w:t>
        </w:r>
        <w:r w:rsidR="00271C2A">
          <w:rPr>
            <w:noProof/>
            <w:webHidden/>
          </w:rPr>
          <w:tab/>
        </w:r>
        <w:r w:rsidR="00271C2A">
          <w:rPr>
            <w:noProof/>
            <w:webHidden/>
          </w:rPr>
          <w:fldChar w:fldCharType="begin"/>
        </w:r>
        <w:r w:rsidR="00271C2A">
          <w:rPr>
            <w:noProof/>
            <w:webHidden/>
          </w:rPr>
          <w:instrText xml:space="preserve"> PAGEREF _Toc517507991 \h </w:instrText>
        </w:r>
        <w:r w:rsidR="00271C2A">
          <w:rPr>
            <w:noProof/>
            <w:webHidden/>
          </w:rPr>
        </w:r>
        <w:r w:rsidR="00271C2A">
          <w:rPr>
            <w:noProof/>
            <w:webHidden/>
          </w:rPr>
          <w:fldChar w:fldCharType="separate"/>
        </w:r>
        <w:r w:rsidR="00072F0D">
          <w:rPr>
            <w:noProof/>
            <w:webHidden/>
          </w:rPr>
          <w:t>34</w:t>
        </w:r>
        <w:r w:rsidR="00271C2A">
          <w:rPr>
            <w:noProof/>
            <w:webHidden/>
          </w:rPr>
          <w:fldChar w:fldCharType="end"/>
        </w:r>
      </w:hyperlink>
    </w:p>
    <w:p w14:paraId="2DD5374F" w14:textId="77777777" w:rsidR="00271C2A" w:rsidRDefault="00C01946">
      <w:pPr>
        <w:pStyle w:val="Verzeichnis1"/>
        <w:tabs>
          <w:tab w:val="left" w:pos="660"/>
          <w:tab w:val="right" w:leader="underscore" w:pos="9062"/>
        </w:tabs>
        <w:rPr>
          <w:rFonts w:eastAsiaTheme="minorEastAsia"/>
          <w:b w:val="0"/>
          <w:bCs w:val="0"/>
          <w:iCs w:val="0"/>
          <w:noProof/>
          <w:sz w:val="22"/>
          <w:szCs w:val="22"/>
          <w:lang w:eastAsia="de-DE"/>
        </w:rPr>
      </w:pPr>
      <w:hyperlink w:anchor="_Toc517507992" w:history="1">
        <w:r w:rsidR="00271C2A" w:rsidRPr="005A36DB">
          <w:rPr>
            <w:rStyle w:val="Hyperlink"/>
            <w:noProof/>
          </w:rPr>
          <w:t>10</w:t>
        </w:r>
        <w:r w:rsidR="00271C2A">
          <w:rPr>
            <w:rFonts w:eastAsiaTheme="minorEastAsia"/>
            <w:b w:val="0"/>
            <w:bCs w:val="0"/>
            <w:iCs w:val="0"/>
            <w:noProof/>
            <w:sz w:val="22"/>
            <w:szCs w:val="22"/>
            <w:lang w:eastAsia="de-DE"/>
          </w:rPr>
          <w:tab/>
        </w:r>
        <w:r w:rsidR="00271C2A" w:rsidRPr="005A36DB">
          <w:rPr>
            <w:rStyle w:val="Hyperlink"/>
            <w:noProof/>
          </w:rPr>
          <w:t>Abkürzungen</w:t>
        </w:r>
        <w:r w:rsidR="00271C2A">
          <w:rPr>
            <w:noProof/>
            <w:webHidden/>
          </w:rPr>
          <w:tab/>
        </w:r>
        <w:r w:rsidR="00271C2A">
          <w:rPr>
            <w:noProof/>
            <w:webHidden/>
          </w:rPr>
          <w:fldChar w:fldCharType="begin"/>
        </w:r>
        <w:r w:rsidR="00271C2A">
          <w:rPr>
            <w:noProof/>
            <w:webHidden/>
          </w:rPr>
          <w:instrText xml:space="preserve"> PAGEREF _Toc517507992 \h </w:instrText>
        </w:r>
        <w:r w:rsidR="00271C2A">
          <w:rPr>
            <w:noProof/>
            <w:webHidden/>
          </w:rPr>
        </w:r>
        <w:r w:rsidR="00271C2A">
          <w:rPr>
            <w:noProof/>
            <w:webHidden/>
          </w:rPr>
          <w:fldChar w:fldCharType="separate"/>
        </w:r>
        <w:r w:rsidR="00072F0D">
          <w:rPr>
            <w:noProof/>
            <w:webHidden/>
          </w:rPr>
          <w:t>35</w:t>
        </w:r>
        <w:r w:rsidR="00271C2A">
          <w:rPr>
            <w:noProof/>
            <w:webHidden/>
          </w:rPr>
          <w:fldChar w:fldCharType="end"/>
        </w:r>
      </w:hyperlink>
    </w:p>
    <w:p w14:paraId="67B78EEA" w14:textId="77777777" w:rsidR="00271C2A" w:rsidRDefault="00C01946">
      <w:pPr>
        <w:pStyle w:val="Verzeichnis1"/>
        <w:tabs>
          <w:tab w:val="left" w:pos="660"/>
          <w:tab w:val="right" w:leader="underscore" w:pos="9062"/>
        </w:tabs>
        <w:rPr>
          <w:rFonts w:eastAsiaTheme="minorEastAsia"/>
          <w:b w:val="0"/>
          <w:bCs w:val="0"/>
          <w:iCs w:val="0"/>
          <w:noProof/>
          <w:sz w:val="22"/>
          <w:szCs w:val="22"/>
          <w:lang w:eastAsia="de-DE"/>
        </w:rPr>
      </w:pPr>
      <w:hyperlink w:anchor="_Toc517507993" w:history="1">
        <w:r w:rsidR="00271C2A" w:rsidRPr="005A36DB">
          <w:rPr>
            <w:rStyle w:val="Hyperlink"/>
            <w:noProof/>
          </w:rPr>
          <w:t>11</w:t>
        </w:r>
        <w:r w:rsidR="00271C2A">
          <w:rPr>
            <w:rFonts w:eastAsiaTheme="minorEastAsia"/>
            <w:b w:val="0"/>
            <w:bCs w:val="0"/>
            <w:iCs w:val="0"/>
            <w:noProof/>
            <w:sz w:val="22"/>
            <w:szCs w:val="22"/>
            <w:lang w:eastAsia="de-DE"/>
          </w:rPr>
          <w:tab/>
        </w:r>
        <w:r w:rsidR="00271C2A" w:rsidRPr="005A36DB">
          <w:rPr>
            <w:rStyle w:val="Hyperlink"/>
            <w:noProof/>
          </w:rPr>
          <w:t>Glossar</w:t>
        </w:r>
        <w:r w:rsidR="00271C2A">
          <w:rPr>
            <w:noProof/>
            <w:webHidden/>
          </w:rPr>
          <w:tab/>
        </w:r>
        <w:r w:rsidR="00271C2A">
          <w:rPr>
            <w:noProof/>
            <w:webHidden/>
          </w:rPr>
          <w:fldChar w:fldCharType="begin"/>
        </w:r>
        <w:r w:rsidR="00271C2A">
          <w:rPr>
            <w:noProof/>
            <w:webHidden/>
          </w:rPr>
          <w:instrText xml:space="preserve"> PAGEREF _Toc517507993 \h </w:instrText>
        </w:r>
        <w:r w:rsidR="00271C2A">
          <w:rPr>
            <w:noProof/>
            <w:webHidden/>
          </w:rPr>
        </w:r>
        <w:r w:rsidR="00271C2A">
          <w:rPr>
            <w:noProof/>
            <w:webHidden/>
          </w:rPr>
          <w:fldChar w:fldCharType="separate"/>
        </w:r>
        <w:r w:rsidR="00072F0D">
          <w:rPr>
            <w:noProof/>
            <w:webHidden/>
          </w:rPr>
          <w:t>36</w:t>
        </w:r>
        <w:r w:rsidR="00271C2A">
          <w:rPr>
            <w:noProof/>
            <w:webHidden/>
          </w:rPr>
          <w:fldChar w:fldCharType="end"/>
        </w:r>
      </w:hyperlink>
    </w:p>
    <w:p w14:paraId="07F29BB6" w14:textId="77777777" w:rsidR="00271C2A" w:rsidRDefault="00C01946">
      <w:pPr>
        <w:pStyle w:val="Verzeichnis1"/>
        <w:tabs>
          <w:tab w:val="left" w:pos="660"/>
          <w:tab w:val="right" w:leader="underscore" w:pos="9062"/>
        </w:tabs>
        <w:rPr>
          <w:rFonts w:eastAsiaTheme="minorEastAsia"/>
          <w:b w:val="0"/>
          <w:bCs w:val="0"/>
          <w:iCs w:val="0"/>
          <w:noProof/>
          <w:sz w:val="22"/>
          <w:szCs w:val="22"/>
          <w:lang w:eastAsia="de-DE"/>
        </w:rPr>
      </w:pPr>
      <w:hyperlink w:anchor="_Toc517507994" w:history="1">
        <w:r w:rsidR="00271C2A" w:rsidRPr="005A36DB">
          <w:rPr>
            <w:rStyle w:val="Hyperlink"/>
            <w:noProof/>
          </w:rPr>
          <w:t>12</w:t>
        </w:r>
        <w:r w:rsidR="00271C2A">
          <w:rPr>
            <w:rFonts w:eastAsiaTheme="minorEastAsia"/>
            <w:b w:val="0"/>
            <w:bCs w:val="0"/>
            <w:iCs w:val="0"/>
            <w:noProof/>
            <w:sz w:val="22"/>
            <w:szCs w:val="22"/>
            <w:lang w:eastAsia="de-DE"/>
          </w:rPr>
          <w:tab/>
        </w:r>
        <w:r w:rsidR="00271C2A" w:rsidRPr="005A36DB">
          <w:rPr>
            <w:rStyle w:val="Hyperlink"/>
            <w:noProof/>
          </w:rPr>
          <w:t>Literatur</w:t>
        </w:r>
        <w:r w:rsidR="00271C2A">
          <w:rPr>
            <w:noProof/>
            <w:webHidden/>
          </w:rPr>
          <w:tab/>
        </w:r>
        <w:r w:rsidR="00271C2A">
          <w:rPr>
            <w:noProof/>
            <w:webHidden/>
          </w:rPr>
          <w:fldChar w:fldCharType="begin"/>
        </w:r>
        <w:r w:rsidR="00271C2A">
          <w:rPr>
            <w:noProof/>
            <w:webHidden/>
          </w:rPr>
          <w:instrText xml:space="preserve"> PAGEREF _Toc517507994 \h </w:instrText>
        </w:r>
        <w:r w:rsidR="00271C2A">
          <w:rPr>
            <w:noProof/>
            <w:webHidden/>
          </w:rPr>
        </w:r>
        <w:r w:rsidR="00271C2A">
          <w:rPr>
            <w:noProof/>
            <w:webHidden/>
          </w:rPr>
          <w:fldChar w:fldCharType="separate"/>
        </w:r>
        <w:r w:rsidR="00072F0D">
          <w:rPr>
            <w:noProof/>
            <w:webHidden/>
          </w:rPr>
          <w:t>39</w:t>
        </w:r>
        <w:r w:rsidR="00271C2A">
          <w:rPr>
            <w:noProof/>
            <w:webHidden/>
          </w:rPr>
          <w:fldChar w:fldCharType="end"/>
        </w:r>
      </w:hyperlink>
    </w:p>
    <w:p w14:paraId="014C582F"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95" w:history="1">
        <w:r w:rsidR="00271C2A" w:rsidRPr="005A36DB">
          <w:rPr>
            <w:rStyle w:val="Hyperlink"/>
            <w:noProof/>
          </w:rPr>
          <w:t>12.1</w:t>
        </w:r>
        <w:r w:rsidR="00271C2A">
          <w:rPr>
            <w:rFonts w:eastAsiaTheme="minorEastAsia"/>
            <w:b w:val="0"/>
            <w:bCs w:val="0"/>
            <w:noProof/>
            <w:lang w:eastAsia="de-DE"/>
          </w:rPr>
          <w:tab/>
        </w:r>
        <w:r w:rsidR="00271C2A" w:rsidRPr="005A36DB">
          <w:rPr>
            <w:rStyle w:val="Hyperlink"/>
            <w:noProof/>
          </w:rPr>
          <w:t>Bücher</w:t>
        </w:r>
        <w:r w:rsidR="00271C2A">
          <w:rPr>
            <w:noProof/>
            <w:webHidden/>
          </w:rPr>
          <w:tab/>
        </w:r>
        <w:r w:rsidR="00271C2A">
          <w:rPr>
            <w:noProof/>
            <w:webHidden/>
          </w:rPr>
          <w:fldChar w:fldCharType="begin"/>
        </w:r>
        <w:r w:rsidR="00271C2A">
          <w:rPr>
            <w:noProof/>
            <w:webHidden/>
          </w:rPr>
          <w:instrText xml:space="preserve"> PAGEREF _Toc517507995 \h </w:instrText>
        </w:r>
        <w:r w:rsidR="00271C2A">
          <w:rPr>
            <w:noProof/>
            <w:webHidden/>
          </w:rPr>
        </w:r>
        <w:r w:rsidR="00271C2A">
          <w:rPr>
            <w:noProof/>
            <w:webHidden/>
          </w:rPr>
          <w:fldChar w:fldCharType="separate"/>
        </w:r>
        <w:r w:rsidR="00072F0D">
          <w:rPr>
            <w:noProof/>
            <w:webHidden/>
          </w:rPr>
          <w:t>39</w:t>
        </w:r>
        <w:r w:rsidR="00271C2A">
          <w:rPr>
            <w:noProof/>
            <w:webHidden/>
          </w:rPr>
          <w:fldChar w:fldCharType="end"/>
        </w:r>
      </w:hyperlink>
    </w:p>
    <w:p w14:paraId="68DFA5FD"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96" w:history="1">
        <w:r w:rsidR="00271C2A" w:rsidRPr="005A36DB">
          <w:rPr>
            <w:rStyle w:val="Hyperlink"/>
            <w:noProof/>
          </w:rPr>
          <w:t>12.2</w:t>
        </w:r>
        <w:r w:rsidR="00271C2A">
          <w:rPr>
            <w:rFonts w:eastAsiaTheme="minorEastAsia"/>
            <w:b w:val="0"/>
            <w:bCs w:val="0"/>
            <w:noProof/>
            <w:lang w:eastAsia="de-DE"/>
          </w:rPr>
          <w:tab/>
        </w:r>
        <w:r w:rsidR="00271C2A" w:rsidRPr="005A36DB">
          <w:rPr>
            <w:rStyle w:val="Hyperlink"/>
            <w:noProof/>
          </w:rPr>
          <w:t>Online</w:t>
        </w:r>
        <w:r w:rsidR="00271C2A">
          <w:rPr>
            <w:noProof/>
            <w:webHidden/>
          </w:rPr>
          <w:tab/>
        </w:r>
        <w:r w:rsidR="00271C2A">
          <w:rPr>
            <w:noProof/>
            <w:webHidden/>
          </w:rPr>
          <w:fldChar w:fldCharType="begin"/>
        </w:r>
        <w:r w:rsidR="00271C2A">
          <w:rPr>
            <w:noProof/>
            <w:webHidden/>
          </w:rPr>
          <w:instrText xml:space="preserve"> PAGEREF _Toc517507996 \h </w:instrText>
        </w:r>
        <w:r w:rsidR="00271C2A">
          <w:rPr>
            <w:noProof/>
            <w:webHidden/>
          </w:rPr>
        </w:r>
        <w:r w:rsidR="00271C2A">
          <w:rPr>
            <w:noProof/>
            <w:webHidden/>
          </w:rPr>
          <w:fldChar w:fldCharType="separate"/>
        </w:r>
        <w:r w:rsidR="00072F0D">
          <w:rPr>
            <w:noProof/>
            <w:webHidden/>
          </w:rPr>
          <w:t>39</w:t>
        </w:r>
        <w:r w:rsidR="00271C2A">
          <w:rPr>
            <w:noProof/>
            <w:webHidden/>
          </w:rPr>
          <w:fldChar w:fldCharType="end"/>
        </w:r>
      </w:hyperlink>
    </w:p>
    <w:p w14:paraId="66EFCD7A" w14:textId="77777777" w:rsidR="00271C2A" w:rsidRDefault="00C01946">
      <w:pPr>
        <w:pStyle w:val="Verzeichnis2"/>
        <w:tabs>
          <w:tab w:val="left" w:pos="880"/>
          <w:tab w:val="right" w:leader="underscore" w:pos="9062"/>
        </w:tabs>
        <w:rPr>
          <w:rFonts w:eastAsiaTheme="minorEastAsia"/>
          <w:b w:val="0"/>
          <w:bCs w:val="0"/>
          <w:noProof/>
          <w:lang w:eastAsia="de-DE"/>
        </w:rPr>
      </w:pPr>
      <w:hyperlink w:anchor="_Toc517507997" w:history="1">
        <w:r w:rsidR="00271C2A" w:rsidRPr="005A36DB">
          <w:rPr>
            <w:rStyle w:val="Hyperlink"/>
            <w:noProof/>
          </w:rPr>
          <w:t>12.3</w:t>
        </w:r>
        <w:r w:rsidR="00271C2A">
          <w:rPr>
            <w:rFonts w:eastAsiaTheme="minorEastAsia"/>
            <w:b w:val="0"/>
            <w:bCs w:val="0"/>
            <w:noProof/>
            <w:lang w:eastAsia="de-DE"/>
          </w:rPr>
          <w:tab/>
        </w:r>
        <w:r w:rsidR="00271C2A" w:rsidRPr="005A36DB">
          <w:rPr>
            <w:rStyle w:val="Hyperlink"/>
            <w:noProof/>
          </w:rPr>
          <w:t>Zeitschriften</w:t>
        </w:r>
        <w:r w:rsidR="00271C2A">
          <w:rPr>
            <w:noProof/>
            <w:webHidden/>
          </w:rPr>
          <w:tab/>
        </w:r>
        <w:r w:rsidR="00271C2A">
          <w:rPr>
            <w:noProof/>
            <w:webHidden/>
          </w:rPr>
          <w:fldChar w:fldCharType="begin"/>
        </w:r>
        <w:r w:rsidR="00271C2A">
          <w:rPr>
            <w:noProof/>
            <w:webHidden/>
          </w:rPr>
          <w:instrText xml:space="preserve"> PAGEREF _Toc517507997 \h </w:instrText>
        </w:r>
        <w:r w:rsidR="00271C2A">
          <w:rPr>
            <w:noProof/>
            <w:webHidden/>
          </w:rPr>
        </w:r>
        <w:r w:rsidR="00271C2A">
          <w:rPr>
            <w:noProof/>
            <w:webHidden/>
          </w:rPr>
          <w:fldChar w:fldCharType="separate"/>
        </w:r>
        <w:r w:rsidR="00072F0D">
          <w:rPr>
            <w:noProof/>
            <w:webHidden/>
          </w:rPr>
          <w:t>40</w:t>
        </w:r>
        <w:r w:rsidR="00271C2A">
          <w:rPr>
            <w:noProof/>
            <w:webHidden/>
          </w:rPr>
          <w:fldChar w:fldCharType="end"/>
        </w:r>
      </w:hyperlink>
    </w:p>
    <w:p w14:paraId="0A293DB6" w14:textId="77777777" w:rsidR="001D0CB2" w:rsidRDefault="00E27FE2">
      <w:r>
        <w:fldChar w:fldCharType="end"/>
      </w:r>
    </w:p>
    <w:p w14:paraId="6B311FE5"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56A1778C" w14:textId="77777777" w:rsidR="001D0CB2" w:rsidRDefault="00E27FE2">
      <w:pPr>
        <w:pStyle w:val="Untertitel"/>
      </w:pPr>
      <w:bookmarkStart w:id="60" w:name="_Toc512158336"/>
      <w:r>
        <w:lastRenderedPageBreak/>
        <w:t>Tabellenverzeichnis</w:t>
      </w:r>
      <w:bookmarkEnd w:id="60"/>
    </w:p>
    <w:p w14:paraId="7F89F2EF" w14:textId="77777777" w:rsidR="00271C2A" w:rsidRDefault="00E27FE2">
      <w:pPr>
        <w:pStyle w:val="Abbildungsverzeichnis"/>
        <w:tabs>
          <w:tab w:val="right" w:leader="underscore" w:pos="9062"/>
        </w:tabs>
        <w:rPr>
          <w:rFonts w:eastAsiaTheme="minorEastAsia"/>
          <w:iCs w:val="0"/>
          <w:noProof/>
          <w:sz w:val="22"/>
          <w:szCs w:val="22"/>
          <w:lang w:eastAsia="de-DE"/>
        </w:rPr>
      </w:pPr>
      <w:r>
        <w:fldChar w:fldCharType="begin"/>
      </w:r>
      <w:r>
        <w:instrText xml:space="preserve"> TOC \h \z \c "Tabelle" </w:instrText>
      </w:r>
      <w:r>
        <w:fldChar w:fldCharType="separate"/>
      </w:r>
      <w:hyperlink w:anchor="_Toc517507998" w:history="1">
        <w:r w:rsidR="00271C2A" w:rsidRPr="00C517B1">
          <w:rPr>
            <w:rStyle w:val="Hyperlink"/>
            <w:noProof/>
          </w:rPr>
          <w:t>Tabelle 1: Beispieldaten mit onkologischen Erkrankungen</w:t>
        </w:r>
        <w:r w:rsidR="00271C2A">
          <w:rPr>
            <w:noProof/>
            <w:webHidden/>
          </w:rPr>
          <w:tab/>
        </w:r>
        <w:r w:rsidR="00271C2A">
          <w:rPr>
            <w:noProof/>
            <w:webHidden/>
          </w:rPr>
          <w:fldChar w:fldCharType="begin"/>
        </w:r>
        <w:r w:rsidR="00271C2A">
          <w:rPr>
            <w:noProof/>
            <w:webHidden/>
          </w:rPr>
          <w:instrText xml:space="preserve"> PAGEREF _Toc517507998 \h </w:instrText>
        </w:r>
        <w:r w:rsidR="00271C2A">
          <w:rPr>
            <w:noProof/>
            <w:webHidden/>
          </w:rPr>
        </w:r>
        <w:r w:rsidR="00271C2A">
          <w:rPr>
            <w:noProof/>
            <w:webHidden/>
          </w:rPr>
          <w:fldChar w:fldCharType="separate"/>
        </w:r>
        <w:r w:rsidR="00072F0D">
          <w:rPr>
            <w:noProof/>
            <w:webHidden/>
          </w:rPr>
          <w:t>7</w:t>
        </w:r>
        <w:r w:rsidR="00271C2A">
          <w:rPr>
            <w:noProof/>
            <w:webHidden/>
          </w:rPr>
          <w:fldChar w:fldCharType="end"/>
        </w:r>
      </w:hyperlink>
    </w:p>
    <w:p w14:paraId="6A39AA64"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7999" w:history="1">
        <w:r w:rsidR="00271C2A" w:rsidRPr="00C517B1">
          <w:rPr>
            <w:rStyle w:val="Hyperlink"/>
            <w:noProof/>
          </w:rPr>
          <w:t>Tabelle 2: Entpersonalisierung von Daten durch Nutzung der Methode der Nichtangabe</w:t>
        </w:r>
        <w:r w:rsidR="00271C2A">
          <w:rPr>
            <w:noProof/>
            <w:webHidden/>
          </w:rPr>
          <w:tab/>
        </w:r>
        <w:r w:rsidR="00271C2A">
          <w:rPr>
            <w:noProof/>
            <w:webHidden/>
          </w:rPr>
          <w:fldChar w:fldCharType="begin"/>
        </w:r>
        <w:r w:rsidR="00271C2A">
          <w:rPr>
            <w:noProof/>
            <w:webHidden/>
          </w:rPr>
          <w:instrText xml:space="preserve"> PAGEREF _Toc517507999 \h </w:instrText>
        </w:r>
        <w:r w:rsidR="00271C2A">
          <w:rPr>
            <w:noProof/>
            <w:webHidden/>
          </w:rPr>
        </w:r>
        <w:r w:rsidR="00271C2A">
          <w:rPr>
            <w:noProof/>
            <w:webHidden/>
          </w:rPr>
          <w:fldChar w:fldCharType="separate"/>
        </w:r>
        <w:r w:rsidR="00072F0D">
          <w:rPr>
            <w:noProof/>
            <w:webHidden/>
          </w:rPr>
          <w:t>21</w:t>
        </w:r>
        <w:r w:rsidR="00271C2A">
          <w:rPr>
            <w:noProof/>
            <w:webHidden/>
          </w:rPr>
          <w:fldChar w:fldCharType="end"/>
        </w:r>
      </w:hyperlink>
    </w:p>
    <w:p w14:paraId="414AAA00"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0" w:history="1">
        <w:r w:rsidR="00271C2A" w:rsidRPr="00C517B1">
          <w:rPr>
            <w:rStyle w:val="Hyperlink"/>
            <w:noProof/>
          </w:rPr>
          <w:t xml:space="preserve">Tabelle 3: Änderung des Informationswertes einer Diagnose bei Änderung des </w:t>
        </w:r>
        <w:r w:rsidR="00271C2A" w:rsidRPr="006C6D59">
          <w:rPr>
            <w:rStyle w:val="Hyperlink"/>
            <w:noProof/>
          </w:rPr>
          <w:t>ICD</w:t>
        </w:r>
        <w:r w:rsidR="00271C2A" w:rsidRPr="00C517B1">
          <w:rPr>
            <w:rStyle w:val="Hyperlink"/>
            <w:noProof/>
          </w:rPr>
          <w:t xml:space="preserve"> durch Nichtangabe</w:t>
        </w:r>
        <w:r w:rsidR="00271C2A">
          <w:rPr>
            <w:noProof/>
            <w:webHidden/>
          </w:rPr>
          <w:tab/>
        </w:r>
        <w:r w:rsidR="00271C2A">
          <w:rPr>
            <w:noProof/>
            <w:webHidden/>
          </w:rPr>
          <w:fldChar w:fldCharType="begin"/>
        </w:r>
        <w:r w:rsidR="00271C2A">
          <w:rPr>
            <w:noProof/>
            <w:webHidden/>
          </w:rPr>
          <w:instrText xml:space="preserve"> PAGEREF _Toc517508000 \h </w:instrText>
        </w:r>
        <w:r w:rsidR="00271C2A">
          <w:rPr>
            <w:noProof/>
            <w:webHidden/>
          </w:rPr>
        </w:r>
        <w:r w:rsidR="00271C2A">
          <w:rPr>
            <w:noProof/>
            <w:webHidden/>
          </w:rPr>
          <w:fldChar w:fldCharType="separate"/>
        </w:r>
        <w:r w:rsidR="00072F0D">
          <w:rPr>
            <w:noProof/>
            <w:webHidden/>
          </w:rPr>
          <w:t>21</w:t>
        </w:r>
        <w:r w:rsidR="00271C2A">
          <w:rPr>
            <w:noProof/>
            <w:webHidden/>
          </w:rPr>
          <w:fldChar w:fldCharType="end"/>
        </w:r>
      </w:hyperlink>
    </w:p>
    <w:p w14:paraId="68689C83"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1" w:history="1">
        <w:r w:rsidR="00271C2A" w:rsidRPr="00C517B1">
          <w:rPr>
            <w:rStyle w:val="Hyperlink"/>
            <w:noProof/>
          </w:rPr>
          <w:t xml:space="preserve">Tabelle 4: </w:t>
        </w:r>
        <w:r w:rsidR="00271C2A" w:rsidRPr="00F215B1">
          <w:rPr>
            <w:rStyle w:val="Hyperlink"/>
            <w:noProof/>
          </w:rPr>
          <w:t>Maskiertes</w:t>
        </w:r>
        <w:r w:rsidR="00271C2A" w:rsidRPr="00C517B1">
          <w:rPr>
            <w:rStyle w:val="Hyperlink"/>
            <w:noProof/>
          </w:rPr>
          <w:t xml:space="preserve"> Geburtsdatum</w:t>
        </w:r>
        <w:r w:rsidR="00271C2A">
          <w:rPr>
            <w:noProof/>
            <w:webHidden/>
          </w:rPr>
          <w:tab/>
        </w:r>
        <w:r w:rsidR="00271C2A">
          <w:rPr>
            <w:noProof/>
            <w:webHidden/>
          </w:rPr>
          <w:fldChar w:fldCharType="begin"/>
        </w:r>
        <w:r w:rsidR="00271C2A">
          <w:rPr>
            <w:noProof/>
            <w:webHidden/>
          </w:rPr>
          <w:instrText xml:space="preserve"> PAGEREF _Toc517508001 \h </w:instrText>
        </w:r>
        <w:r w:rsidR="00271C2A">
          <w:rPr>
            <w:noProof/>
            <w:webHidden/>
          </w:rPr>
        </w:r>
        <w:r w:rsidR="00271C2A">
          <w:rPr>
            <w:noProof/>
            <w:webHidden/>
          </w:rPr>
          <w:fldChar w:fldCharType="separate"/>
        </w:r>
        <w:r w:rsidR="00072F0D">
          <w:rPr>
            <w:noProof/>
            <w:webHidden/>
          </w:rPr>
          <w:t>22</w:t>
        </w:r>
        <w:r w:rsidR="00271C2A">
          <w:rPr>
            <w:noProof/>
            <w:webHidden/>
          </w:rPr>
          <w:fldChar w:fldCharType="end"/>
        </w:r>
      </w:hyperlink>
    </w:p>
    <w:p w14:paraId="1049379E"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2" w:history="1">
        <w:r w:rsidR="00271C2A" w:rsidRPr="00C517B1">
          <w:rPr>
            <w:rStyle w:val="Hyperlink"/>
            <w:noProof/>
          </w:rPr>
          <w:t xml:space="preserve">Tabelle 5: Vermischung der Datensätze, </w:t>
        </w:r>
        <w:r w:rsidR="00271C2A" w:rsidRPr="00F215B1">
          <w:rPr>
            <w:rStyle w:val="Hyperlink"/>
            <w:noProof/>
          </w:rPr>
          <w:t>so dass</w:t>
        </w:r>
        <w:r w:rsidR="00271C2A" w:rsidRPr="00C517B1">
          <w:rPr>
            <w:rStyle w:val="Hyperlink"/>
            <w:noProof/>
          </w:rPr>
          <w:t xml:space="preserve"> eine Identifizierung nicht möglich ist</w:t>
        </w:r>
        <w:r w:rsidR="00271C2A">
          <w:rPr>
            <w:noProof/>
            <w:webHidden/>
          </w:rPr>
          <w:tab/>
        </w:r>
        <w:r w:rsidR="00271C2A" w:rsidRPr="00F215B1">
          <w:rPr>
            <w:noProof/>
            <w:webHidden/>
          </w:rPr>
          <w:fldChar w:fldCharType="begin"/>
        </w:r>
        <w:r w:rsidR="00271C2A" w:rsidRPr="00F215B1">
          <w:rPr>
            <w:noProof/>
            <w:webHidden/>
          </w:rPr>
          <w:instrText xml:space="preserve"> PAGEREF _Toc517508002 \h </w:instrText>
        </w:r>
        <w:r w:rsidR="00271C2A" w:rsidRPr="00F215B1">
          <w:rPr>
            <w:noProof/>
            <w:webHidden/>
          </w:rPr>
        </w:r>
        <w:r w:rsidR="00271C2A" w:rsidRPr="00F215B1">
          <w:rPr>
            <w:noProof/>
            <w:webHidden/>
          </w:rPr>
          <w:fldChar w:fldCharType="separate"/>
        </w:r>
        <w:r w:rsidR="00072F0D">
          <w:rPr>
            <w:noProof/>
            <w:webHidden/>
          </w:rPr>
          <w:t>23</w:t>
        </w:r>
        <w:r w:rsidR="00271C2A" w:rsidRPr="00F215B1">
          <w:rPr>
            <w:noProof/>
            <w:webHidden/>
          </w:rPr>
          <w:fldChar w:fldCharType="end"/>
        </w:r>
      </w:hyperlink>
    </w:p>
    <w:p w14:paraId="63E75CB2"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3" w:history="1">
        <w:r w:rsidR="00271C2A" w:rsidRPr="00C517B1">
          <w:rPr>
            <w:rStyle w:val="Hyperlink"/>
            <w:noProof/>
          </w:rPr>
          <w:t>Tabelle 6: Anpassung des Geburtsdatums durch die Varianzmethode</w:t>
        </w:r>
        <w:r w:rsidR="00271C2A">
          <w:rPr>
            <w:noProof/>
            <w:webHidden/>
          </w:rPr>
          <w:tab/>
        </w:r>
        <w:r w:rsidR="00271C2A">
          <w:rPr>
            <w:noProof/>
            <w:webHidden/>
          </w:rPr>
          <w:fldChar w:fldCharType="begin"/>
        </w:r>
        <w:r w:rsidR="00271C2A">
          <w:rPr>
            <w:noProof/>
            <w:webHidden/>
          </w:rPr>
          <w:instrText xml:space="preserve"> PAGEREF _Toc517508003 \h </w:instrText>
        </w:r>
        <w:r w:rsidR="00271C2A">
          <w:rPr>
            <w:noProof/>
            <w:webHidden/>
          </w:rPr>
        </w:r>
        <w:r w:rsidR="00271C2A">
          <w:rPr>
            <w:noProof/>
            <w:webHidden/>
          </w:rPr>
          <w:fldChar w:fldCharType="separate"/>
        </w:r>
        <w:r w:rsidR="00072F0D">
          <w:rPr>
            <w:noProof/>
            <w:webHidden/>
          </w:rPr>
          <w:t>23</w:t>
        </w:r>
        <w:r w:rsidR="00271C2A">
          <w:rPr>
            <w:noProof/>
            <w:webHidden/>
          </w:rPr>
          <w:fldChar w:fldCharType="end"/>
        </w:r>
      </w:hyperlink>
    </w:p>
    <w:p w14:paraId="3DDC10A0"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4" w:history="1">
        <w:r w:rsidR="00271C2A" w:rsidRPr="00C517B1">
          <w:rPr>
            <w:rStyle w:val="Hyperlink"/>
            <w:noProof/>
          </w:rPr>
          <w:t>Tabelle 7: Beispiel bzgl. Ersetzen von Datentypen</w:t>
        </w:r>
        <w:r w:rsidR="00271C2A">
          <w:rPr>
            <w:noProof/>
            <w:webHidden/>
          </w:rPr>
          <w:tab/>
        </w:r>
        <w:r w:rsidR="00271C2A" w:rsidRPr="00F215B1">
          <w:rPr>
            <w:noProof/>
            <w:webHidden/>
          </w:rPr>
          <w:fldChar w:fldCharType="begin"/>
        </w:r>
        <w:r w:rsidR="00271C2A" w:rsidRPr="00F215B1">
          <w:rPr>
            <w:noProof/>
            <w:webHidden/>
          </w:rPr>
          <w:instrText xml:space="preserve"> PAGEREF _Toc517508004 \h </w:instrText>
        </w:r>
        <w:r w:rsidR="00271C2A" w:rsidRPr="00F215B1">
          <w:rPr>
            <w:noProof/>
            <w:webHidden/>
          </w:rPr>
        </w:r>
        <w:r w:rsidR="00271C2A" w:rsidRPr="00F215B1">
          <w:rPr>
            <w:noProof/>
            <w:webHidden/>
          </w:rPr>
          <w:fldChar w:fldCharType="separate"/>
        </w:r>
        <w:r w:rsidR="00072F0D">
          <w:rPr>
            <w:noProof/>
            <w:webHidden/>
          </w:rPr>
          <w:t>26</w:t>
        </w:r>
        <w:r w:rsidR="00271C2A" w:rsidRPr="00F215B1">
          <w:rPr>
            <w:noProof/>
            <w:webHidden/>
          </w:rPr>
          <w:fldChar w:fldCharType="end"/>
        </w:r>
      </w:hyperlink>
    </w:p>
    <w:p w14:paraId="3E769C8C"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5" w:history="1">
        <w:r w:rsidR="00271C2A" w:rsidRPr="00C517B1">
          <w:rPr>
            <w:rStyle w:val="Hyperlink"/>
            <w:noProof/>
          </w:rPr>
          <w:t xml:space="preserve">Tabelle 8: </w:t>
        </w:r>
        <w:r w:rsidR="00271C2A" w:rsidRPr="00F215B1">
          <w:rPr>
            <w:rStyle w:val="Hyperlink"/>
            <w:noProof/>
          </w:rPr>
          <w:t>Auf</w:t>
        </w:r>
        <w:r w:rsidR="00271C2A" w:rsidRPr="00C517B1">
          <w:rPr>
            <w:rStyle w:val="Hyperlink"/>
            <w:noProof/>
          </w:rPr>
          <w:t xml:space="preserve"> Anonymität zu prüfendes Ergebnis</w:t>
        </w:r>
        <w:r w:rsidR="00271C2A">
          <w:rPr>
            <w:noProof/>
            <w:webHidden/>
          </w:rPr>
          <w:tab/>
        </w:r>
        <w:r w:rsidR="00271C2A" w:rsidRPr="00F215B1">
          <w:rPr>
            <w:noProof/>
            <w:webHidden/>
          </w:rPr>
          <w:fldChar w:fldCharType="begin"/>
        </w:r>
        <w:r w:rsidR="00271C2A" w:rsidRPr="00F215B1">
          <w:rPr>
            <w:noProof/>
            <w:webHidden/>
          </w:rPr>
          <w:instrText xml:space="preserve"> PAGEREF _Toc517508005 \h </w:instrText>
        </w:r>
        <w:r w:rsidR="00271C2A" w:rsidRPr="00F215B1">
          <w:rPr>
            <w:noProof/>
            <w:webHidden/>
          </w:rPr>
        </w:r>
        <w:r w:rsidR="00271C2A" w:rsidRPr="00F215B1">
          <w:rPr>
            <w:noProof/>
            <w:webHidden/>
          </w:rPr>
          <w:fldChar w:fldCharType="separate"/>
        </w:r>
        <w:r w:rsidR="00072F0D">
          <w:rPr>
            <w:noProof/>
            <w:webHidden/>
          </w:rPr>
          <w:t>27</w:t>
        </w:r>
        <w:r w:rsidR="00271C2A" w:rsidRPr="00F215B1">
          <w:rPr>
            <w:noProof/>
            <w:webHidden/>
          </w:rPr>
          <w:fldChar w:fldCharType="end"/>
        </w:r>
      </w:hyperlink>
    </w:p>
    <w:p w14:paraId="67607934" w14:textId="77777777" w:rsidR="00271C2A" w:rsidRDefault="00C01946">
      <w:pPr>
        <w:pStyle w:val="Abbildungsverzeichnis"/>
        <w:tabs>
          <w:tab w:val="right" w:leader="underscore" w:pos="9062"/>
        </w:tabs>
        <w:rPr>
          <w:rFonts w:eastAsiaTheme="minorEastAsia"/>
          <w:iCs w:val="0"/>
          <w:noProof/>
          <w:sz w:val="22"/>
          <w:szCs w:val="22"/>
          <w:lang w:eastAsia="de-DE"/>
        </w:rPr>
      </w:pPr>
      <w:hyperlink w:anchor="_Toc517508006" w:history="1">
        <w:r w:rsidR="00271C2A" w:rsidRPr="00C517B1">
          <w:rPr>
            <w:rStyle w:val="Hyperlink"/>
            <w:noProof/>
          </w:rPr>
          <w:t>Tabelle 9: Zuordnungsmöglichkeiten durch die Originaldaten</w:t>
        </w:r>
        <w:r w:rsidR="00271C2A">
          <w:rPr>
            <w:noProof/>
            <w:webHidden/>
          </w:rPr>
          <w:tab/>
        </w:r>
        <w:r w:rsidR="00271C2A">
          <w:rPr>
            <w:noProof/>
            <w:webHidden/>
          </w:rPr>
          <w:fldChar w:fldCharType="begin"/>
        </w:r>
        <w:r w:rsidR="00271C2A">
          <w:rPr>
            <w:noProof/>
            <w:webHidden/>
          </w:rPr>
          <w:instrText xml:space="preserve"> PAGEREF _Toc517508006 \h </w:instrText>
        </w:r>
        <w:r w:rsidR="00271C2A">
          <w:rPr>
            <w:noProof/>
            <w:webHidden/>
          </w:rPr>
        </w:r>
        <w:r w:rsidR="00271C2A">
          <w:rPr>
            <w:noProof/>
            <w:webHidden/>
          </w:rPr>
          <w:fldChar w:fldCharType="separate"/>
        </w:r>
        <w:r w:rsidR="00072F0D">
          <w:rPr>
            <w:noProof/>
            <w:webHidden/>
          </w:rPr>
          <w:t>28</w:t>
        </w:r>
        <w:r w:rsidR="00271C2A">
          <w:rPr>
            <w:noProof/>
            <w:webHidden/>
          </w:rPr>
          <w:fldChar w:fldCharType="end"/>
        </w:r>
      </w:hyperlink>
    </w:p>
    <w:p w14:paraId="62508500" w14:textId="77777777" w:rsidR="001D0CB2" w:rsidRDefault="00E27FE2">
      <w:r>
        <w:fldChar w:fldCharType="end"/>
      </w:r>
    </w:p>
    <w:p w14:paraId="460B48BC" w14:textId="77777777" w:rsidR="001D0CB2" w:rsidRDefault="00E27FE2">
      <w:pPr>
        <w:rPr>
          <w:rFonts w:asciiTheme="majorHAnsi" w:eastAsiaTheme="majorEastAsia" w:hAnsiTheme="majorHAnsi" w:cstheme="majorBidi"/>
          <w:b/>
          <w:bCs/>
          <w:color w:val="365F91" w:themeColor="accent1" w:themeShade="BF"/>
          <w:sz w:val="28"/>
          <w:szCs w:val="28"/>
        </w:rPr>
      </w:pPr>
      <w:r>
        <w:br w:type="page"/>
      </w:r>
    </w:p>
    <w:p w14:paraId="39F2382D" w14:textId="77777777" w:rsidR="001D0CB2" w:rsidRDefault="00E27FE2">
      <w:pPr>
        <w:pStyle w:val="berschrift1"/>
        <w:numPr>
          <w:ilvl w:val="0"/>
          <w:numId w:val="0"/>
        </w:numPr>
      </w:pPr>
      <w:bookmarkStart w:id="61" w:name="_Toc517507942"/>
      <w:r>
        <w:lastRenderedPageBreak/>
        <w:t>Zusammenfassung</w:t>
      </w:r>
      <w:bookmarkEnd w:id="61"/>
    </w:p>
    <w:p w14:paraId="587F6A38" w14:textId="77777777" w:rsidR="00271C2A" w:rsidRDefault="00E27FE2">
      <w:r>
        <w:t xml:space="preserve">Personenbezogene Daten sind „alle Informationen, die sich auf eine identifizierte oder identifizierbare natürliche Person beziehen“. Dieser Begriff ist somit sehr umfassend, denn er erfasst somit alle Daten, die einer individuellen Person direkt oder indirekt zurechenbar </w:t>
      </w:r>
      <w:r w:rsidR="00D55911">
        <w:t>sind</w:t>
      </w:r>
      <w:r>
        <w:t>.</w:t>
      </w:r>
    </w:p>
    <w:p w14:paraId="75030AB3" w14:textId="01F6148F" w:rsidR="001D0CB2" w:rsidRDefault="00E27FE2">
      <w:r>
        <w:t xml:space="preserve">Wie die bisherigen nationalen Datenschutzregelungen enthält auch die EU-Datenschutz-Grundverordnung (DS-GVO) ein grundsätzliches Verbot der Verarbeitung personenbezogener Daten. Daher gilt nach wie vor, </w:t>
      </w:r>
      <w:r w:rsidR="00D55911">
        <w:t xml:space="preserve">dass </w:t>
      </w:r>
      <w:r>
        <w:t>jede Verarbeitung personenbezogener Daten verboten</w:t>
      </w:r>
      <w:r w:rsidR="00D55911">
        <w:t xml:space="preserve"> ist. Somit benötigt jede Verarbeitung einen gesetzlich geregelten Erlaubnistatbestand. </w:t>
      </w:r>
      <w:r>
        <w:t xml:space="preserve">Insbesondere </w:t>
      </w:r>
      <w:r w:rsidR="00D55911">
        <w:t>ist zu beachten</w:t>
      </w:r>
      <w:r>
        <w:t xml:space="preserve">, dass je sensibler die zu verarbeitenden Daten sind, desto notwendiger </w:t>
      </w:r>
      <w:r w:rsidR="00D55911">
        <w:t>die Gewährleistung</w:t>
      </w:r>
      <w:r>
        <w:t xml:space="preserve"> ein</w:t>
      </w:r>
      <w:r w:rsidR="00D55911">
        <w:t>es</w:t>
      </w:r>
      <w:r>
        <w:t xml:space="preserve"> angemessen hohe</w:t>
      </w:r>
      <w:r w:rsidR="00D55911">
        <w:t>n</w:t>
      </w:r>
      <w:r>
        <w:t xml:space="preserve"> Schutzniveau</w:t>
      </w:r>
      <w:r w:rsidR="00D55911">
        <w:t>s</w:t>
      </w:r>
      <w:r>
        <w:t xml:space="preserve"> für diese Daten </w:t>
      </w:r>
      <w:r w:rsidR="00D55911">
        <w:t>ist</w:t>
      </w:r>
      <w:r>
        <w:t xml:space="preserve">. Gewährleisten muss den Schutz personenbezogener Daten für die gesamte Dauer der Verarbeitung, also über den gesamten Lebenszyklus der Daten hinweg, der „Verantwortliche“. Art. 4 </w:t>
      </w:r>
      <w:r w:rsidRPr="006C6D59">
        <w:t>Ziff</w:t>
      </w:r>
      <w:r>
        <w:t xml:space="preserve">. 7 DS-GVO definiert einen Verantwortlichen als „die natürliche oder juristische Person, Behörde, Einrichtung oder andere Stelle, die allein oder gemeinsam mit anderen über die Zwecke und Mittel der Verarbeitung von personenbezogenen Daten entscheidet“. </w:t>
      </w:r>
      <w:r w:rsidR="00D8219B">
        <w:t xml:space="preserve">Somit </w:t>
      </w:r>
      <w:r>
        <w:t xml:space="preserve">ist derjenige, </w:t>
      </w:r>
      <w:r w:rsidR="00D8219B">
        <w:t xml:space="preserve">welcher </w:t>
      </w:r>
      <w:r>
        <w:t xml:space="preserve">über die Mittel und Zwecke der Verarbeitung entscheidet, vollumfänglich </w:t>
      </w:r>
      <w:r w:rsidR="00D8219B">
        <w:t xml:space="preserve">für alles </w:t>
      </w:r>
      <w:r>
        <w:t>verantwortlich</w:t>
      </w:r>
      <w:r w:rsidR="00D8219B">
        <w:t xml:space="preserve">, </w:t>
      </w:r>
      <w:r>
        <w:t>was mit diesen Daten geschieht.</w:t>
      </w:r>
    </w:p>
    <w:p w14:paraId="3EAA3876" w14:textId="25BF6CDC" w:rsidR="00271C2A" w:rsidRDefault="00E27FE2">
      <w:r>
        <w:t>Die DS-GVO sieht die Pseudonymisierung als eine</w:t>
      </w:r>
      <w:r w:rsidR="00D8219B">
        <w:t xml:space="preserve"> mögliche </w:t>
      </w:r>
      <w:r>
        <w:t xml:space="preserve">Maßnahme an, </w:t>
      </w:r>
      <w:r w:rsidR="00D8219B">
        <w:t xml:space="preserve">deren Einsatz die Gewährleistung eines angemessenen </w:t>
      </w:r>
      <w:r>
        <w:t>Schutzniveau</w:t>
      </w:r>
      <w:r w:rsidR="00D8219B">
        <w:t>s</w:t>
      </w:r>
      <w:r>
        <w:t xml:space="preserve"> </w:t>
      </w:r>
      <w:r w:rsidR="00D8219B">
        <w:t>unterstützen kann</w:t>
      </w:r>
      <w:r>
        <w:t xml:space="preserve">. </w:t>
      </w:r>
      <w:r w:rsidR="00D8219B">
        <w:t xml:space="preserve">Die DS-GVO </w:t>
      </w:r>
      <w:r>
        <w:t>verweist an verschiedenen Stellen</w:t>
      </w:r>
      <w:r w:rsidR="00D8219B">
        <w:t>,</w:t>
      </w:r>
      <w:r>
        <w:t xml:space="preserve"> wie </w:t>
      </w:r>
      <w:r w:rsidR="00F215B1" w:rsidRPr="00F215B1">
        <w:t>z. B.</w:t>
      </w:r>
      <w:r>
        <w:t xml:space="preserve"> bei den Anforderungen bzgl. </w:t>
      </w:r>
      <w:r w:rsidRPr="006C6D59">
        <w:t>Privacy</w:t>
      </w:r>
      <w:r>
        <w:t xml:space="preserve"> </w:t>
      </w:r>
      <w:proofErr w:type="spellStart"/>
      <w:r w:rsidRPr="006C6D59">
        <w:t>by</w:t>
      </w:r>
      <w:proofErr w:type="spellEnd"/>
      <w:r>
        <w:t xml:space="preserve"> Design/Default (Art. 25) oder bei der Verarbeitung von Forschungsarbeiten</w:t>
      </w:r>
      <w:r w:rsidR="00D8219B">
        <w:t>,</w:t>
      </w:r>
      <w:r>
        <w:t xml:space="preserve"> auf diese Maßnahme.</w:t>
      </w:r>
    </w:p>
    <w:p w14:paraId="00C9249E" w14:textId="172199D9" w:rsidR="001D0CB2" w:rsidRDefault="00E27FE2">
      <w:r>
        <w:t xml:space="preserve">Die im </w:t>
      </w:r>
      <w:r w:rsidRPr="006C6D59">
        <w:t>BDSG</w:t>
      </w:r>
      <w:r>
        <w:t xml:space="preserve"> noch erhaltene Begrifflichkeit der Anonymisierung wird von der DS-GVO nicht mehr explizit definiert. Jedoch bedeutet dieses nicht, dass eine Anonymisierung mit Geltung der DS-GVO per se nicht mehr möglich ist. Vielmehr adressiert sowohl die DS-GVO als auch etwaige nationale Regelungen an mehreren Stellen diese Möglichkeit. </w:t>
      </w:r>
      <w:r w:rsidR="00D8219B">
        <w:t xml:space="preserve">Bedingt </w:t>
      </w:r>
      <w:r>
        <w:t xml:space="preserve">durch die Regelungen der DS-GVO </w:t>
      </w:r>
      <w:r w:rsidR="00D8219B" w:rsidRPr="00F215B1">
        <w:t>bzgl.</w:t>
      </w:r>
      <w:r w:rsidRPr="00F215B1">
        <w:t xml:space="preserve"> den </w:t>
      </w:r>
      <w:r w:rsidR="00D8219B" w:rsidRPr="00F215B1">
        <w:t>Begrifflichkeiten</w:t>
      </w:r>
      <w:r w:rsidR="00D8219B">
        <w:t xml:space="preserve"> </w:t>
      </w:r>
      <w:r>
        <w:t>„personenbezogene Daten“ und „</w:t>
      </w:r>
      <w:r w:rsidR="00D8219B">
        <w:t>Pseudonymisierung</w:t>
      </w:r>
      <w:r>
        <w:t xml:space="preserve">“ </w:t>
      </w:r>
      <w:r w:rsidR="00D8219B">
        <w:t xml:space="preserve">änderten sich </w:t>
      </w:r>
      <w:r>
        <w:t xml:space="preserve">die Anforderungen an eine Anonymisierung. </w:t>
      </w:r>
      <w:r w:rsidR="00D8219B">
        <w:t>E</w:t>
      </w:r>
      <w:r>
        <w:t xml:space="preserve">ine „faktische“ Anonymisierung von Daten, wie sie bspw. bisher im </w:t>
      </w:r>
      <w:r w:rsidR="00D8219B">
        <w:t xml:space="preserve">bis zum 24. Mai 2018 geltenden </w:t>
      </w:r>
      <w:r w:rsidRPr="006C6D59">
        <w:t>BDSG</w:t>
      </w:r>
      <w:r>
        <w:t xml:space="preserve"> vorgesehen war, </w:t>
      </w:r>
      <w:r w:rsidR="00D8219B">
        <w:t>wird</w:t>
      </w:r>
      <w:r>
        <w:t xml:space="preserve"> mit Geltung der DS-GVO</w:t>
      </w:r>
      <w:r w:rsidR="00D8219B">
        <w:t xml:space="preserve">, </w:t>
      </w:r>
      <w:r w:rsidR="00F215B1" w:rsidRPr="00F215B1">
        <w:t>d. h.</w:t>
      </w:r>
      <w:r w:rsidR="00D8219B">
        <w:t xml:space="preserve"> ab dem 25. Mai 2018,</w:t>
      </w:r>
      <w:r>
        <w:t xml:space="preserve"> so nicht mehr möglich sein.</w:t>
      </w:r>
    </w:p>
    <w:p w14:paraId="3F8E624B" w14:textId="56200D5D" w:rsidR="001D0CB2" w:rsidRDefault="00E27FE2">
      <w:r>
        <w:t>Sowohl die Pseudonymisierung als auch die Anonymisierung können bzw. sollten daher verwendet werden</w:t>
      </w:r>
      <w:r w:rsidR="00A6785F">
        <w:t xml:space="preserve">. Einerseits um die </w:t>
      </w:r>
      <w:r>
        <w:t xml:space="preserve">Risiken der Verarbeitung personenbezogener Daten für von </w:t>
      </w:r>
      <w:r w:rsidR="00A6785F">
        <w:t>dieser</w:t>
      </w:r>
      <w:r>
        <w:t xml:space="preserve"> Verarbeitung betroffene Personen zu verringern</w:t>
      </w:r>
      <w:r w:rsidR="00A6785F">
        <w:t xml:space="preserve">, andererseits um den aus der DS-GVO resultierenden rechtlichen </w:t>
      </w:r>
      <w:r w:rsidR="00A6785F" w:rsidRPr="00F215B1">
        <w:t>Anforderungen hinsichtlich eines angemessen hohen Schutzniveaus zu genügen</w:t>
      </w:r>
      <w:r w:rsidR="00A6785F">
        <w:t>.</w:t>
      </w:r>
    </w:p>
    <w:p w14:paraId="27E12755" w14:textId="4FCD1A21" w:rsidR="001D0CB2" w:rsidRDefault="00E27FE2">
      <w:r>
        <w:t xml:space="preserve">Dabei </w:t>
      </w:r>
      <w:r w:rsidR="00A6785F">
        <w:t xml:space="preserve">ist zu </w:t>
      </w:r>
      <w:r>
        <w:t xml:space="preserve">beachten, dass sowohl die Anonymisierung als auch die Pseudonymisierung eine Verarbeitung im Sinne der DS-GVO darstellen. </w:t>
      </w:r>
      <w:r w:rsidR="00F215B1" w:rsidRPr="00F215B1">
        <w:t>D. h.</w:t>
      </w:r>
      <w:r>
        <w:t xml:space="preserve"> es wird eine Rechtsgrundlage („Erlaubnistatbestand“) für die Durchführung einer Anonymisierung oder auch einer Pseudonymisierung benötigt. Dies ist nur eine der datenschutzrechtlichen Rahmenbedingungen, welche in der DS-GVO zu finden sind.</w:t>
      </w:r>
    </w:p>
    <w:p w14:paraId="5CEC7F55" w14:textId="7B16B1A1" w:rsidR="001D0CB2" w:rsidRDefault="00E27FE2">
      <w:r>
        <w:t>In dieser Ausarbeitung werden verschiedene Rahmenbedingungen besprochen, die im Hinblick auf eine Pseudonymisierung oder Anonymisierung zu beachten sind.</w:t>
      </w:r>
    </w:p>
    <w:p w14:paraId="77DDC69A"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12190346" w14:textId="77777777" w:rsidR="001D0CB2" w:rsidRDefault="00E27FE2" w:rsidP="00FD7008">
      <w:pPr>
        <w:pStyle w:val="berschrift1"/>
      </w:pPr>
      <w:bookmarkStart w:id="62" w:name="_Toc517507943"/>
      <w:r>
        <w:lastRenderedPageBreak/>
        <w:t>Einleitung</w:t>
      </w:r>
      <w:bookmarkEnd w:id="62"/>
    </w:p>
    <w:p w14:paraId="649F5BAF" w14:textId="7092671E" w:rsidR="001D0CB2" w:rsidRDefault="00E27FE2">
      <w:r>
        <w:t xml:space="preserve">Sowohl die Pseudonymisierung als auch die Anonymisierung wird verwendet um Risiken der Verarbeitung für von der Verarbeitung betroffene Personen zu verringern. </w:t>
      </w:r>
      <w:r w:rsidRPr="00F215B1">
        <w:t>D. h.</w:t>
      </w:r>
      <w:r>
        <w:t xml:space="preserve"> die Methoden stellen Maßnahmen dar, welche dem Schutz von personenbezogenen Daten dienen. </w:t>
      </w:r>
      <w:r w:rsidR="009D0F6D">
        <w:t>I</w:t>
      </w:r>
      <w:r>
        <w:t xml:space="preserve">n Bezug auf die Pseudonymisierung </w:t>
      </w:r>
      <w:r w:rsidR="009D0F6D">
        <w:t>schrieb der europäische Gesetzgeber</w:t>
      </w:r>
      <w:r>
        <w:t xml:space="preserve"> in </w:t>
      </w:r>
      <w:r w:rsidRPr="006C6D59">
        <w:t>ErwGr</w:t>
      </w:r>
      <w:r>
        <w:t>. 28 DS-GVO: „Die Anwendung der Pseudonymisierung auf personenbezogene Daten kann […] die Verantwortlichen und die Auftragsverarbeiter bei der Einhaltung ihrer Datenschutzpflichten unterstützen“.</w:t>
      </w:r>
    </w:p>
    <w:p w14:paraId="508D3ECF" w14:textId="6D5542E4" w:rsidR="001D0CB2" w:rsidRDefault="00E27FE2">
      <w:r>
        <w:t>Wie aus dieser Formulierung</w:t>
      </w:r>
      <w:r w:rsidR="00271C2A">
        <w:t xml:space="preserve"> </w:t>
      </w:r>
      <w:r>
        <w:t xml:space="preserve">ersichtlich wird, kann es einen oder auch mehrere Verantwortliche geben. Art. 4 </w:t>
      </w:r>
      <w:r w:rsidRPr="006C6D59">
        <w:t>Ziff</w:t>
      </w:r>
      <w:r>
        <w:t xml:space="preserve">. 7 DS-GVO definiert „Verantwortlicher“ als „die natürliche oder juristische Person, Behörde, Einrichtung oder andere Stelle, die allein oder gemeinsam mit anderen über die Zwecke und Mittel der Verarbeitung von personenbezogenen Daten entscheidet“. Entsprechend wird in Art. 26 DS-GVO erklärt, unter welchen Umständen eine Verarbeitung durch gemeinsam Verantwortliche erfolgen kann. Dies gilt selbstverständlich auch für die Pseudonymisierung oder auch die Anonymisierung, die </w:t>
      </w:r>
      <w:r w:rsidR="009D0F6D">
        <w:t xml:space="preserve">jeweils </w:t>
      </w:r>
      <w:r>
        <w:t xml:space="preserve">eine Verarbeitung darstellen. </w:t>
      </w:r>
      <w:r w:rsidR="009D0F6D">
        <w:t xml:space="preserve">Und auch </w:t>
      </w:r>
      <w:r>
        <w:t>diese Verarbeitungen können von einem oder auch von mehreren gemeinsam Verantwortlichen durchgeführt und genutzt werden.</w:t>
      </w:r>
    </w:p>
    <w:p w14:paraId="55AF7D2A" w14:textId="31453DC8" w:rsidR="001D0CB2" w:rsidRDefault="00E27FE2">
      <w:pPr>
        <w:spacing w:after="0"/>
      </w:pPr>
      <w:r>
        <w:t>Eine Pseudonymisierung ersetzt nicht zwangsläufig andere Datenschutzmaßnahmen, sondern ist eher als begleitende Maßnahme zu verstehen (</w:t>
      </w:r>
      <w:r w:rsidRPr="006C6D59">
        <w:t>ErwGr</w:t>
      </w:r>
      <w:r>
        <w:t>. 28 S. 2 DS-GVO). Die DS-GVO nennt die Pseudonymisierung als begleitende Maßnahme an verschiedenen Stellen wie z.</w:t>
      </w:r>
      <w:r w:rsidR="00922D5B">
        <w:t> </w:t>
      </w:r>
      <w:r>
        <w:t>B.:</w:t>
      </w:r>
    </w:p>
    <w:p w14:paraId="486198A9" w14:textId="77777777" w:rsidR="001D0CB2" w:rsidRDefault="00E27FE2">
      <w:pPr>
        <w:pStyle w:val="Listenabsatz"/>
        <w:numPr>
          <w:ilvl w:val="0"/>
          <w:numId w:val="24"/>
        </w:numPr>
      </w:pPr>
      <w:r>
        <w:t xml:space="preserve">Art. 6 Abs. 4 DS-GVO, um bei Zweckänderung geeignete Garantien für die Sicherheit </w:t>
      </w:r>
      <w:r w:rsidRPr="00F215B1">
        <w:t>abzubilden</w:t>
      </w:r>
    </w:p>
    <w:p w14:paraId="632A7484" w14:textId="77777777" w:rsidR="001D0CB2" w:rsidRDefault="00E27FE2">
      <w:pPr>
        <w:pStyle w:val="Listenabsatz"/>
        <w:numPr>
          <w:ilvl w:val="0"/>
          <w:numId w:val="24"/>
        </w:numPr>
      </w:pPr>
      <w:r>
        <w:t>Art. 25 Abs. 1 DS-GVO, als eines der Mittel, um „Datenschutz durch Technikgestaltung und durch datenschutzfreundliche Voreinstellungen“ („</w:t>
      </w:r>
      <w:r w:rsidRPr="006C6D59">
        <w:t>Privacy</w:t>
      </w:r>
      <w:r>
        <w:t xml:space="preserve"> </w:t>
      </w:r>
      <w:proofErr w:type="spellStart"/>
      <w:r w:rsidRPr="006C6D59">
        <w:t>by</w:t>
      </w:r>
      <w:proofErr w:type="spellEnd"/>
      <w:r>
        <w:t xml:space="preserve"> Design/</w:t>
      </w:r>
      <w:r w:rsidRPr="006C6D59">
        <w:t>Privacy</w:t>
      </w:r>
      <w:r>
        <w:t xml:space="preserve"> </w:t>
      </w:r>
      <w:proofErr w:type="spellStart"/>
      <w:r w:rsidRPr="006C6D59">
        <w:t>by</w:t>
      </w:r>
      <w:proofErr w:type="spellEnd"/>
      <w:r>
        <w:t xml:space="preserve"> Default“) </w:t>
      </w:r>
      <w:r w:rsidRPr="00F215B1">
        <w:t>umzusetzen</w:t>
      </w:r>
    </w:p>
    <w:p w14:paraId="6EC4E615" w14:textId="77777777" w:rsidR="001D0CB2" w:rsidRDefault="00E27FE2">
      <w:pPr>
        <w:pStyle w:val="Listenabsatz"/>
        <w:numPr>
          <w:ilvl w:val="0"/>
          <w:numId w:val="24"/>
        </w:numPr>
      </w:pPr>
      <w:r>
        <w:t xml:space="preserve">Art. 32 Abs. 1 lit. a DS-GVO, als eine der zu berücksichtigenden Anforderungen bei der Gewährleistung eines angemessenen </w:t>
      </w:r>
      <w:r w:rsidRPr="00F215B1">
        <w:t>Schutzniveaus</w:t>
      </w:r>
    </w:p>
    <w:p w14:paraId="12BBB6AE" w14:textId="0334D5F8" w:rsidR="001D0CB2" w:rsidRDefault="00E27FE2">
      <w:pPr>
        <w:pStyle w:val="Listenabsatz"/>
        <w:numPr>
          <w:ilvl w:val="0"/>
          <w:numId w:val="24"/>
        </w:numPr>
      </w:pPr>
      <w:r>
        <w:t>Art. 89 Abs. 1 DS-GVO, als eine mögliche Maßnahme, um</w:t>
      </w:r>
      <w:r w:rsidR="00271C2A">
        <w:t xml:space="preserve"> </w:t>
      </w:r>
      <w:r>
        <w:t>Rechte und Freiheiten betroffener Person bei der Verarbeitung personenbezogener Daten von im öffentlichen Interesse liegenden Archivzwecken, zu wissenschaftlichen oder historischen Forschungszwecken oder zu statistischen Zwecken zu gewährleisten.</w:t>
      </w:r>
    </w:p>
    <w:p w14:paraId="787F785A" w14:textId="77777777" w:rsidR="001D0CB2" w:rsidRDefault="00E27FE2">
      <w:pPr>
        <w:spacing w:after="0"/>
      </w:pPr>
      <w:r>
        <w:t>Anonyme oder pseudonyme Daten können z. B. genutzt werden für:</w:t>
      </w:r>
    </w:p>
    <w:p w14:paraId="4D391AD1" w14:textId="77777777" w:rsidR="001D0CB2" w:rsidRDefault="00E27FE2">
      <w:pPr>
        <w:pStyle w:val="Listenabsatz"/>
        <w:numPr>
          <w:ilvl w:val="0"/>
          <w:numId w:val="21"/>
        </w:numPr>
      </w:pPr>
      <w:r>
        <w:t>Schulungszwecke</w:t>
      </w:r>
    </w:p>
    <w:p w14:paraId="22C6A329" w14:textId="77777777" w:rsidR="001D0CB2" w:rsidRDefault="00E27FE2">
      <w:pPr>
        <w:pStyle w:val="Listenabsatz"/>
        <w:numPr>
          <w:ilvl w:val="0"/>
          <w:numId w:val="21"/>
        </w:numPr>
      </w:pPr>
      <w:r>
        <w:t>Krankheitsregister</w:t>
      </w:r>
    </w:p>
    <w:p w14:paraId="396E3090" w14:textId="77777777" w:rsidR="001D0CB2" w:rsidRDefault="00E27FE2">
      <w:pPr>
        <w:pStyle w:val="Listenabsatz"/>
        <w:numPr>
          <w:ilvl w:val="0"/>
          <w:numId w:val="21"/>
        </w:numPr>
      </w:pPr>
      <w:r>
        <w:t>Klinische Studien</w:t>
      </w:r>
    </w:p>
    <w:p w14:paraId="5349E7E4" w14:textId="77777777" w:rsidR="001D0CB2" w:rsidRDefault="00E27FE2">
      <w:pPr>
        <w:pStyle w:val="Listenabsatz"/>
        <w:numPr>
          <w:ilvl w:val="0"/>
          <w:numId w:val="21"/>
        </w:numPr>
      </w:pPr>
      <w:r>
        <w:t>Statistische Auswertungen/Analysen.</w:t>
      </w:r>
    </w:p>
    <w:p w14:paraId="5551FF07" w14:textId="191BECE3" w:rsidR="001D0CB2" w:rsidRDefault="00E27FE2">
      <w:r>
        <w:t>Art. 40 Abs. 2 lit. d DS-GVO verweist darauf, dass Verhaltensregeln die Pseudonymisierung personenbezogener Daten konkreter ausgestalten können.</w:t>
      </w:r>
      <w:r w:rsidR="009D0F6D">
        <w:t xml:space="preserve"> Demnach</w:t>
      </w:r>
      <w:r>
        <w:t xml:space="preserve"> </w:t>
      </w:r>
      <w:r w:rsidR="009D0F6D">
        <w:t xml:space="preserve">enthalten </w:t>
      </w:r>
      <w:r>
        <w:t>die Vorgaben der DS-GVO die Rahmenbedingungen</w:t>
      </w:r>
      <w:r w:rsidR="009D0F6D">
        <w:t>, unter welchen eine Pseudonymisierung anwendbar ist</w:t>
      </w:r>
      <w:r w:rsidR="00B32225">
        <w:t xml:space="preserve">. </w:t>
      </w:r>
      <w:r>
        <w:t xml:space="preserve">Bzgl. der Ausgestaltung der Pseudonymisierung gibt es aber Bedarf an Auslegung. Dies will diese Ausarbeitung leisten: </w:t>
      </w:r>
      <w:r w:rsidRPr="00F215B1">
        <w:t>eine</w:t>
      </w:r>
      <w:r>
        <w:t xml:space="preserve"> Klarstellung, wie mit Pseudonymisierung und Anonymisierung mit Geltung der DS-GVO umzugehen ist.</w:t>
      </w:r>
    </w:p>
    <w:p w14:paraId="45B18A48"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4712C4B9" w14:textId="77777777" w:rsidR="001D0CB2" w:rsidRDefault="00E27FE2">
      <w:pPr>
        <w:pStyle w:val="berschrift1"/>
      </w:pPr>
      <w:bookmarkStart w:id="63" w:name="_Toc517507944"/>
      <w:r>
        <w:lastRenderedPageBreak/>
        <w:t>Abgrenzung / Klarstellung</w:t>
      </w:r>
      <w:bookmarkEnd w:id="63"/>
    </w:p>
    <w:p w14:paraId="3611BB82" w14:textId="12205792" w:rsidR="001D0CB2" w:rsidRDefault="00E27FE2">
      <w:r>
        <w:t>Die vorliegende Ausarbeitung bezieht sich auf Daten in der Gesundheitsversorgung, d. h. besondere Kategorien von Daten im Sinne der DS-GVO. Grundsätzlich ist eine Pseudonymisierung oder Anonymisierung natürlich auch bei anderen Daten sinnvoll. Die vorliegend dargestellten Ausführungen / Methoden sind daher i. d. R. auch auf diese Daten übertragbar.</w:t>
      </w:r>
    </w:p>
    <w:p w14:paraId="61533CF2" w14:textId="77777777" w:rsidR="001D0CB2" w:rsidRDefault="00E27FE2">
      <w:r>
        <w:t xml:space="preserve">Diese Ausarbeitung stellt keine Verhaltensregel </w:t>
      </w:r>
      <w:r w:rsidRPr="00F215B1">
        <w:t>i.S.v</w:t>
      </w:r>
      <w:r>
        <w:t>. Art. 40 Abs. 2 lit. d DS-GVO dar, sondern beschreibt, welche Rahmenbedingungen beim Vorgehen bzgl. Anonymisierung oder Pseudonymisierung aus Sicht der DS-GVO mindestens beachtet werden sollten. Weiterhin werden einige Methoden zu dieser Thematik vorgestellt, ohne dass diesbezüglich von den Verfassern ein Anspruch auf Vollständigkeit bzgl. der Darstellung erhoben wird.</w:t>
      </w:r>
    </w:p>
    <w:p w14:paraId="5155FE22" w14:textId="77777777" w:rsidR="001D0CB2" w:rsidRDefault="001D0CB2"/>
    <w:p w14:paraId="6B033F9B"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76AC14AB" w14:textId="77777777" w:rsidR="001D0CB2" w:rsidRDefault="00E27FE2">
      <w:pPr>
        <w:pStyle w:val="berschrift1"/>
      </w:pPr>
      <w:bookmarkStart w:id="64" w:name="_Toc517507945"/>
      <w:r>
        <w:lastRenderedPageBreak/>
        <w:t>Allgemeines</w:t>
      </w:r>
      <w:bookmarkEnd w:id="64"/>
    </w:p>
    <w:p w14:paraId="42A1CB99" w14:textId="77777777" w:rsidR="001D0CB2" w:rsidRDefault="00E27FE2">
      <w:r>
        <w:t>Im Rahmen der folgenden Darstellung werden des Öfteren Beispiele zur Veranschaulichung genutzt. Alle Beispiele basieren auf dem folgenden onkologischen Beispieldatensatz:</w:t>
      </w:r>
    </w:p>
    <w:tbl>
      <w:tblPr>
        <w:tblW w:w="9156" w:type="dxa"/>
        <w:tblInd w:w="55" w:type="dxa"/>
        <w:tblCellMar>
          <w:left w:w="70" w:type="dxa"/>
          <w:right w:w="70" w:type="dxa"/>
        </w:tblCellMar>
        <w:tblLook w:val="04A0" w:firstRow="1" w:lastRow="0" w:firstColumn="1" w:lastColumn="0" w:noHBand="0" w:noVBand="1"/>
      </w:tblPr>
      <w:tblGrid>
        <w:gridCol w:w="1133"/>
        <w:gridCol w:w="1137"/>
        <w:gridCol w:w="1147"/>
        <w:gridCol w:w="1147"/>
        <w:gridCol w:w="747"/>
        <w:gridCol w:w="803"/>
        <w:gridCol w:w="3042"/>
      </w:tblGrid>
      <w:tr w:rsidR="001D0CB2" w14:paraId="464CAFA2" w14:textId="77777777">
        <w:trPr>
          <w:trHeight w:val="315"/>
          <w:tblHeader/>
        </w:trPr>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C8093"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Pr>
                <w:rFonts w:ascii="Calibri" w:eastAsia="Times New Roman" w:hAnsi="Calibri" w:cs="Times New Roman"/>
                <w:b/>
                <w:bCs/>
                <w:color w:val="000000"/>
                <w:sz w:val="20"/>
                <w:szCs w:val="20"/>
                <w:lang w:eastAsia="de-DE"/>
              </w:rPr>
              <w:t>Vorname</w:t>
            </w:r>
          </w:p>
        </w:tc>
        <w:tc>
          <w:tcPr>
            <w:tcW w:w="1137" w:type="dxa"/>
            <w:tcBorders>
              <w:top w:val="single" w:sz="8" w:space="0" w:color="auto"/>
              <w:left w:val="nil"/>
              <w:bottom w:val="single" w:sz="8" w:space="0" w:color="auto"/>
              <w:right w:val="single" w:sz="8" w:space="0" w:color="auto"/>
            </w:tcBorders>
            <w:shd w:val="clear" w:color="auto" w:fill="auto"/>
            <w:noWrap/>
            <w:vAlign w:val="center"/>
            <w:hideMark/>
          </w:tcPr>
          <w:p w14:paraId="7EAD78FD"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Pr>
                <w:rFonts w:ascii="Calibri" w:eastAsia="Times New Roman" w:hAnsi="Calibri" w:cs="Times New Roman"/>
                <w:b/>
                <w:bCs/>
                <w:color w:val="000000"/>
                <w:sz w:val="20"/>
                <w:szCs w:val="20"/>
                <w:lang w:eastAsia="de-DE"/>
              </w:rPr>
              <w:t>Nachname</w:t>
            </w:r>
          </w:p>
        </w:tc>
        <w:tc>
          <w:tcPr>
            <w:tcW w:w="1147" w:type="dxa"/>
            <w:tcBorders>
              <w:top w:val="single" w:sz="8" w:space="0" w:color="auto"/>
              <w:left w:val="nil"/>
              <w:bottom w:val="single" w:sz="8" w:space="0" w:color="auto"/>
              <w:right w:val="single" w:sz="8" w:space="0" w:color="auto"/>
            </w:tcBorders>
            <w:shd w:val="clear" w:color="auto" w:fill="auto"/>
            <w:noWrap/>
            <w:vAlign w:val="center"/>
            <w:hideMark/>
          </w:tcPr>
          <w:p w14:paraId="60079033"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Pr>
                <w:rFonts w:ascii="Calibri" w:eastAsia="Times New Roman" w:hAnsi="Calibri" w:cs="Times New Roman"/>
                <w:b/>
                <w:bCs/>
                <w:color w:val="000000"/>
                <w:sz w:val="20"/>
                <w:szCs w:val="20"/>
                <w:lang w:eastAsia="de-DE"/>
              </w:rPr>
              <w:t>Geschlecht</w:t>
            </w:r>
          </w:p>
        </w:tc>
        <w:tc>
          <w:tcPr>
            <w:tcW w:w="1147" w:type="dxa"/>
            <w:tcBorders>
              <w:top w:val="single" w:sz="8" w:space="0" w:color="auto"/>
              <w:left w:val="nil"/>
              <w:bottom w:val="single" w:sz="8" w:space="0" w:color="auto"/>
              <w:right w:val="single" w:sz="8" w:space="0" w:color="auto"/>
            </w:tcBorders>
            <w:shd w:val="clear" w:color="auto" w:fill="auto"/>
            <w:noWrap/>
            <w:vAlign w:val="center"/>
            <w:hideMark/>
          </w:tcPr>
          <w:p w14:paraId="1D33CBF9"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Pr>
                <w:rFonts w:ascii="Calibri" w:eastAsia="Times New Roman" w:hAnsi="Calibri" w:cs="Times New Roman"/>
                <w:b/>
                <w:bCs/>
                <w:color w:val="000000"/>
                <w:sz w:val="20"/>
                <w:szCs w:val="20"/>
                <w:lang w:eastAsia="de-DE"/>
              </w:rPr>
              <w:t>Geb.-Datum</w:t>
            </w:r>
          </w:p>
        </w:tc>
        <w:tc>
          <w:tcPr>
            <w:tcW w:w="747" w:type="dxa"/>
            <w:tcBorders>
              <w:top w:val="single" w:sz="8" w:space="0" w:color="auto"/>
              <w:left w:val="nil"/>
              <w:bottom w:val="single" w:sz="8" w:space="0" w:color="auto"/>
              <w:right w:val="single" w:sz="8" w:space="0" w:color="auto"/>
            </w:tcBorders>
            <w:shd w:val="clear" w:color="auto" w:fill="auto"/>
            <w:noWrap/>
            <w:vAlign w:val="center"/>
            <w:hideMark/>
          </w:tcPr>
          <w:p w14:paraId="6724C1F5"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Pr>
                <w:rFonts w:ascii="Calibri" w:eastAsia="Times New Roman" w:hAnsi="Calibri" w:cs="Times New Roman"/>
                <w:b/>
                <w:bCs/>
                <w:color w:val="000000"/>
                <w:sz w:val="20"/>
                <w:szCs w:val="20"/>
                <w:lang w:eastAsia="de-DE"/>
              </w:rPr>
              <w:t>PLZ</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14:paraId="0831BE2E"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sidRPr="006C6D59">
              <w:rPr>
                <w:rFonts w:ascii="Calibri" w:eastAsia="Times New Roman" w:hAnsi="Calibri" w:cs="Times New Roman"/>
                <w:b/>
                <w:bCs/>
                <w:color w:val="000000"/>
                <w:sz w:val="20"/>
                <w:szCs w:val="20"/>
                <w:lang w:eastAsia="de-DE"/>
              </w:rPr>
              <w:t>ICD</w:t>
            </w:r>
          </w:p>
        </w:tc>
        <w:tc>
          <w:tcPr>
            <w:tcW w:w="3042" w:type="dxa"/>
            <w:tcBorders>
              <w:top w:val="single" w:sz="8" w:space="0" w:color="auto"/>
              <w:left w:val="nil"/>
              <w:bottom w:val="single" w:sz="8" w:space="0" w:color="auto"/>
              <w:right w:val="single" w:sz="8" w:space="0" w:color="auto"/>
            </w:tcBorders>
            <w:shd w:val="clear" w:color="auto" w:fill="auto"/>
            <w:noWrap/>
            <w:vAlign w:val="center"/>
            <w:hideMark/>
          </w:tcPr>
          <w:p w14:paraId="7759ACF2" w14:textId="77777777" w:rsidR="001D0CB2" w:rsidRDefault="00E27FE2">
            <w:pPr>
              <w:spacing w:after="0" w:line="240" w:lineRule="auto"/>
              <w:jc w:val="center"/>
              <w:rPr>
                <w:rFonts w:ascii="Calibri" w:eastAsia="Times New Roman" w:hAnsi="Calibri" w:cs="Times New Roman"/>
                <w:b/>
                <w:bCs/>
                <w:color w:val="000000"/>
                <w:sz w:val="20"/>
                <w:szCs w:val="20"/>
                <w:lang w:eastAsia="de-DE"/>
              </w:rPr>
            </w:pPr>
            <w:r>
              <w:rPr>
                <w:rFonts w:ascii="Calibri" w:eastAsia="Times New Roman" w:hAnsi="Calibri" w:cs="Times New Roman"/>
                <w:b/>
                <w:bCs/>
                <w:color w:val="000000"/>
                <w:sz w:val="20"/>
                <w:szCs w:val="20"/>
                <w:lang w:eastAsia="de-DE"/>
              </w:rPr>
              <w:t>Diagnose</w:t>
            </w:r>
          </w:p>
        </w:tc>
      </w:tr>
      <w:tr w:rsidR="001D0CB2" w14:paraId="2E1118B2"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06FAAD1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Heike</w:t>
            </w:r>
          </w:p>
        </w:tc>
        <w:tc>
          <w:tcPr>
            <w:tcW w:w="1137" w:type="dxa"/>
            <w:tcBorders>
              <w:top w:val="nil"/>
              <w:left w:val="nil"/>
              <w:bottom w:val="single" w:sz="8" w:space="0" w:color="auto"/>
              <w:right w:val="single" w:sz="8" w:space="0" w:color="auto"/>
            </w:tcBorders>
            <w:shd w:val="clear" w:color="auto" w:fill="auto"/>
            <w:hideMark/>
          </w:tcPr>
          <w:p w14:paraId="59CF6A5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Richter</w:t>
            </w:r>
          </w:p>
        </w:tc>
        <w:tc>
          <w:tcPr>
            <w:tcW w:w="1147" w:type="dxa"/>
            <w:tcBorders>
              <w:top w:val="nil"/>
              <w:left w:val="nil"/>
              <w:bottom w:val="single" w:sz="8" w:space="0" w:color="auto"/>
              <w:right w:val="single" w:sz="8" w:space="0" w:color="auto"/>
            </w:tcBorders>
            <w:shd w:val="clear" w:color="auto" w:fill="auto"/>
            <w:hideMark/>
          </w:tcPr>
          <w:p w14:paraId="052FE979"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1A1C7437"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11.05.1983</w:t>
            </w:r>
          </w:p>
        </w:tc>
        <w:tc>
          <w:tcPr>
            <w:tcW w:w="747" w:type="dxa"/>
            <w:tcBorders>
              <w:top w:val="nil"/>
              <w:left w:val="nil"/>
              <w:bottom w:val="single" w:sz="8" w:space="0" w:color="auto"/>
              <w:right w:val="single" w:sz="8" w:space="0" w:color="auto"/>
            </w:tcBorders>
            <w:shd w:val="clear" w:color="auto" w:fill="auto"/>
            <w:hideMark/>
          </w:tcPr>
          <w:p w14:paraId="50A330B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10115</w:t>
            </w:r>
          </w:p>
        </w:tc>
        <w:tc>
          <w:tcPr>
            <w:tcW w:w="803" w:type="dxa"/>
            <w:tcBorders>
              <w:top w:val="nil"/>
              <w:left w:val="nil"/>
              <w:bottom w:val="single" w:sz="8" w:space="0" w:color="auto"/>
              <w:right w:val="single" w:sz="8" w:space="0" w:color="auto"/>
            </w:tcBorders>
            <w:shd w:val="clear" w:color="auto" w:fill="auto"/>
            <w:noWrap/>
            <w:hideMark/>
          </w:tcPr>
          <w:p w14:paraId="1F914C1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C43.9</w:t>
            </w:r>
          </w:p>
        </w:tc>
        <w:tc>
          <w:tcPr>
            <w:tcW w:w="3042" w:type="dxa"/>
            <w:tcBorders>
              <w:top w:val="nil"/>
              <w:left w:val="nil"/>
              <w:bottom w:val="single" w:sz="8" w:space="0" w:color="auto"/>
              <w:right w:val="single" w:sz="8" w:space="0" w:color="auto"/>
            </w:tcBorders>
            <w:shd w:val="clear" w:color="auto" w:fill="auto"/>
            <w:noWrap/>
            <w:hideMark/>
          </w:tcPr>
          <w:p w14:paraId="242156F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Bösartiges Melanom der Haut, nicht näher </w:t>
            </w:r>
            <w:r w:rsidRPr="00F215B1">
              <w:rPr>
                <w:rFonts w:ascii="Calibri" w:eastAsia="Times New Roman" w:hAnsi="Calibri" w:cs="Times New Roman"/>
                <w:color w:val="000000"/>
                <w:sz w:val="20"/>
                <w:szCs w:val="20"/>
                <w:lang w:eastAsia="de-DE"/>
              </w:rPr>
              <w:t>bezeichnet</w:t>
            </w:r>
          </w:p>
        </w:tc>
      </w:tr>
      <w:tr w:rsidR="001D0CB2" w14:paraId="12F855CA"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60ED208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Jan</w:t>
            </w:r>
          </w:p>
        </w:tc>
        <w:tc>
          <w:tcPr>
            <w:tcW w:w="1137" w:type="dxa"/>
            <w:tcBorders>
              <w:top w:val="nil"/>
              <w:left w:val="nil"/>
              <w:bottom w:val="single" w:sz="8" w:space="0" w:color="auto"/>
              <w:right w:val="single" w:sz="8" w:space="0" w:color="auto"/>
            </w:tcBorders>
            <w:shd w:val="clear" w:color="auto" w:fill="auto"/>
            <w:hideMark/>
          </w:tcPr>
          <w:p w14:paraId="0405E045"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Schröder</w:t>
            </w:r>
          </w:p>
        </w:tc>
        <w:tc>
          <w:tcPr>
            <w:tcW w:w="1147" w:type="dxa"/>
            <w:tcBorders>
              <w:top w:val="nil"/>
              <w:left w:val="nil"/>
              <w:bottom w:val="single" w:sz="8" w:space="0" w:color="auto"/>
              <w:right w:val="single" w:sz="8" w:space="0" w:color="auto"/>
            </w:tcBorders>
            <w:shd w:val="clear" w:color="auto" w:fill="auto"/>
            <w:hideMark/>
          </w:tcPr>
          <w:p w14:paraId="707968E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7CB9EB02"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03.12.1965</w:t>
            </w:r>
          </w:p>
        </w:tc>
        <w:tc>
          <w:tcPr>
            <w:tcW w:w="747" w:type="dxa"/>
            <w:tcBorders>
              <w:top w:val="nil"/>
              <w:left w:val="nil"/>
              <w:bottom w:val="single" w:sz="8" w:space="0" w:color="auto"/>
              <w:right w:val="single" w:sz="8" w:space="0" w:color="auto"/>
            </w:tcBorders>
            <w:shd w:val="clear" w:color="auto" w:fill="auto"/>
            <w:hideMark/>
          </w:tcPr>
          <w:p w14:paraId="0379B96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10115</w:t>
            </w:r>
          </w:p>
        </w:tc>
        <w:tc>
          <w:tcPr>
            <w:tcW w:w="803" w:type="dxa"/>
            <w:tcBorders>
              <w:top w:val="nil"/>
              <w:left w:val="nil"/>
              <w:bottom w:val="single" w:sz="8" w:space="0" w:color="auto"/>
              <w:right w:val="single" w:sz="8" w:space="0" w:color="auto"/>
            </w:tcBorders>
            <w:shd w:val="clear" w:color="auto" w:fill="auto"/>
            <w:noWrap/>
            <w:hideMark/>
          </w:tcPr>
          <w:p w14:paraId="6FCB03E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D22.9</w:t>
            </w:r>
          </w:p>
        </w:tc>
        <w:tc>
          <w:tcPr>
            <w:tcW w:w="3042" w:type="dxa"/>
            <w:tcBorders>
              <w:top w:val="nil"/>
              <w:left w:val="nil"/>
              <w:bottom w:val="single" w:sz="8" w:space="0" w:color="auto"/>
              <w:right w:val="single" w:sz="8" w:space="0" w:color="auto"/>
            </w:tcBorders>
            <w:shd w:val="clear" w:color="auto" w:fill="auto"/>
            <w:noWrap/>
            <w:hideMark/>
          </w:tcPr>
          <w:p w14:paraId="5A6294EE"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proofErr w:type="spellStart"/>
            <w:r>
              <w:rPr>
                <w:rFonts w:ascii="Calibri" w:eastAsia="Times New Roman" w:hAnsi="Calibri" w:cs="Times New Roman"/>
                <w:color w:val="000000"/>
                <w:sz w:val="20"/>
                <w:szCs w:val="20"/>
                <w:lang w:eastAsia="de-DE"/>
              </w:rPr>
              <w:t>Melanozytennävus</w:t>
            </w:r>
            <w:proofErr w:type="spellEnd"/>
            <w:r>
              <w:rPr>
                <w:rFonts w:ascii="Calibri" w:eastAsia="Times New Roman" w:hAnsi="Calibri" w:cs="Times New Roman"/>
                <w:color w:val="000000"/>
                <w:sz w:val="20"/>
                <w:szCs w:val="20"/>
                <w:lang w:eastAsia="de-DE"/>
              </w:rPr>
              <w:t xml:space="preserve">, nicht näher </w:t>
            </w:r>
            <w:r w:rsidRPr="00F215B1">
              <w:rPr>
                <w:rFonts w:ascii="Calibri" w:eastAsia="Times New Roman" w:hAnsi="Calibri" w:cs="Times New Roman"/>
                <w:color w:val="000000"/>
                <w:sz w:val="20"/>
                <w:szCs w:val="20"/>
                <w:lang w:eastAsia="de-DE"/>
              </w:rPr>
              <w:t>bezeichnet</w:t>
            </w:r>
          </w:p>
        </w:tc>
      </w:tr>
      <w:tr w:rsidR="001D0CB2" w14:paraId="7047C875"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5BFFEC5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Hugo-Egon</w:t>
            </w:r>
          </w:p>
        </w:tc>
        <w:tc>
          <w:tcPr>
            <w:tcW w:w="1137" w:type="dxa"/>
            <w:tcBorders>
              <w:top w:val="nil"/>
              <w:left w:val="nil"/>
              <w:bottom w:val="single" w:sz="8" w:space="0" w:color="auto"/>
              <w:right w:val="single" w:sz="8" w:space="0" w:color="auto"/>
            </w:tcBorders>
            <w:shd w:val="clear" w:color="auto" w:fill="auto"/>
            <w:hideMark/>
          </w:tcPr>
          <w:p w14:paraId="041B9EA7"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Meyer</w:t>
            </w:r>
          </w:p>
        </w:tc>
        <w:tc>
          <w:tcPr>
            <w:tcW w:w="1147" w:type="dxa"/>
            <w:tcBorders>
              <w:top w:val="nil"/>
              <w:left w:val="nil"/>
              <w:bottom w:val="single" w:sz="8" w:space="0" w:color="auto"/>
              <w:right w:val="single" w:sz="8" w:space="0" w:color="auto"/>
            </w:tcBorders>
            <w:shd w:val="clear" w:color="auto" w:fill="auto"/>
            <w:hideMark/>
          </w:tcPr>
          <w:p w14:paraId="32A2319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1355BEF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27.08.1977</w:t>
            </w:r>
          </w:p>
        </w:tc>
        <w:tc>
          <w:tcPr>
            <w:tcW w:w="747" w:type="dxa"/>
            <w:tcBorders>
              <w:top w:val="nil"/>
              <w:left w:val="nil"/>
              <w:bottom w:val="single" w:sz="8" w:space="0" w:color="auto"/>
              <w:right w:val="single" w:sz="8" w:space="0" w:color="auto"/>
            </w:tcBorders>
            <w:shd w:val="clear" w:color="auto" w:fill="auto"/>
            <w:hideMark/>
          </w:tcPr>
          <w:p w14:paraId="5B8C7B7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10178</w:t>
            </w:r>
          </w:p>
        </w:tc>
        <w:tc>
          <w:tcPr>
            <w:tcW w:w="803" w:type="dxa"/>
            <w:tcBorders>
              <w:top w:val="nil"/>
              <w:left w:val="nil"/>
              <w:bottom w:val="single" w:sz="8" w:space="0" w:color="auto"/>
              <w:right w:val="single" w:sz="8" w:space="0" w:color="auto"/>
            </w:tcBorders>
            <w:shd w:val="clear" w:color="auto" w:fill="auto"/>
            <w:noWrap/>
            <w:hideMark/>
          </w:tcPr>
          <w:p w14:paraId="3768C39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C85.9</w:t>
            </w:r>
          </w:p>
        </w:tc>
        <w:tc>
          <w:tcPr>
            <w:tcW w:w="3042" w:type="dxa"/>
            <w:tcBorders>
              <w:top w:val="nil"/>
              <w:left w:val="nil"/>
              <w:bottom w:val="single" w:sz="8" w:space="0" w:color="auto"/>
              <w:right w:val="single" w:sz="8" w:space="0" w:color="auto"/>
            </w:tcBorders>
            <w:shd w:val="clear" w:color="auto" w:fill="auto"/>
            <w:noWrap/>
            <w:hideMark/>
          </w:tcPr>
          <w:p w14:paraId="492374E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Non-Hodgkin-Lymphom, Typ nicht näher </w:t>
            </w:r>
            <w:r w:rsidRPr="00F215B1">
              <w:rPr>
                <w:rFonts w:ascii="Calibri" w:eastAsia="Times New Roman" w:hAnsi="Calibri" w:cs="Times New Roman"/>
                <w:color w:val="000000"/>
                <w:sz w:val="20"/>
                <w:szCs w:val="20"/>
                <w:lang w:eastAsia="de-DE"/>
              </w:rPr>
              <w:t>bezeichnet</w:t>
            </w:r>
          </w:p>
        </w:tc>
      </w:tr>
      <w:tr w:rsidR="001D0CB2" w14:paraId="0A688BDE"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0CE21FD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Eckbert</w:t>
            </w:r>
          </w:p>
        </w:tc>
        <w:tc>
          <w:tcPr>
            <w:tcW w:w="1137" w:type="dxa"/>
            <w:tcBorders>
              <w:top w:val="nil"/>
              <w:left w:val="nil"/>
              <w:bottom w:val="single" w:sz="8" w:space="0" w:color="auto"/>
              <w:right w:val="single" w:sz="8" w:space="0" w:color="auto"/>
            </w:tcBorders>
            <w:shd w:val="clear" w:color="auto" w:fill="auto"/>
            <w:hideMark/>
          </w:tcPr>
          <w:p w14:paraId="59EC9EA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Schneider</w:t>
            </w:r>
          </w:p>
        </w:tc>
        <w:tc>
          <w:tcPr>
            <w:tcW w:w="1147" w:type="dxa"/>
            <w:tcBorders>
              <w:top w:val="nil"/>
              <w:left w:val="nil"/>
              <w:bottom w:val="single" w:sz="8" w:space="0" w:color="auto"/>
              <w:right w:val="single" w:sz="8" w:space="0" w:color="auto"/>
            </w:tcBorders>
            <w:shd w:val="clear" w:color="auto" w:fill="auto"/>
            <w:hideMark/>
          </w:tcPr>
          <w:p w14:paraId="65901A5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644EED4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23.12.1981</w:t>
            </w:r>
          </w:p>
        </w:tc>
        <w:tc>
          <w:tcPr>
            <w:tcW w:w="747" w:type="dxa"/>
            <w:tcBorders>
              <w:top w:val="nil"/>
              <w:left w:val="nil"/>
              <w:bottom w:val="single" w:sz="8" w:space="0" w:color="auto"/>
              <w:right w:val="single" w:sz="8" w:space="0" w:color="auto"/>
            </w:tcBorders>
            <w:shd w:val="clear" w:color="auto" w:fill="auto"/>
            <w:hideMark/>
          </w:tcPr>
          <w:p w14:paraId="42F23BD9"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10247</w:t>
            </w:r>
          </w:p>
        </w:tc>
        <w:tc>
          <w:tcPr>
            <w:tcW w:w="803" w:type="dxa"/>
            <w:tcBorders>
              <w:top w:val="nil"/>
              <w:left w:val="nil"/>
              <w:bottom w:val="single" w:sz="8" w:space="0" w:color="auto"/>
              <w:right w:val="single" w:sz="8" w:space="0" w:color="auto"/>
            </w:tcBorders>
            <w:shd w:val="clear" w:color="auto" w:fill="auto"/>
            <w:noWrap/>
            <w:hideMark/>
          </w:tcPr>
          <w:p w14:paraId="61EED95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D44.8</w:t>
            </w:r>
          </w:p>
        </w:tc>
        <w:tc>
          <w:tcPr>
            <w:tcW w:w="3042" w:type="dxa"/>
            <w:tcBorders>
              <w:top w:val="nil"/>
              <w:left w:val="nil"/>
              <w:bottom w:val="single" w:sz="8" w:space="0" w:color="auto"/>
              <w:right w:val="single" w:sz="8" w:space="0" w:color="auto"/>
            </w:tcBorders>
            <w:shd w:val="clear" w:color="auto" w:fill="auto"/>
            <w:noWrap/>
            <w:hideMark/>
          </w:tcPr>
          <w:p w14:paraId="23157CF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Neubildung unsicheren oder unbekannten Verhaltens: Beteiligung mehrerer endokriner Drüsen</w:t>
            </w:r>
          </w:p>
        </w:tc>
      </w:tr>
      <w:tr w:rsidR="001D0CB2" w14:paraId="2D86778C"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67CA7F97"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Jürgen</w:t>
            </w:r>
          </w:p>
        </w:tc>
        <w:tc>
          <w:tcPr>
            <w:tcW w:w="1137" w:type="dxa"/>
            <w:tcBorders>
              <w:top w:val="nil"/>
              <w:left w:val="nil"/>
              <w:bottom w:val="single" w:sz="8" w:space="0" w:color="auto"/>
              <w:right w:val="single" w:sz="8" w:space="0" w:color="auto"/>
            </w:tcBorders>
            <w:shd w:val="clear" w:color="auto" w:fill="auto"/>
            <w:hideMark/>
          </w:tcPr>
          <w:p w14:paraId="5E8DA9AE"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Stillstand</w:t>
            </w:r>
          </w:p>
        </w:tc>
        <w:tc>
          <w:tcPr>
            <w:tcW w:w="1147" w:type="dxa"/>
            <w:tcBorders>
              <w:top w:val="nil"/>
              <w:left w:val="nil"/>
              <w:bottom w:val="single" w:sz="8" w:space="0" w:color="auto"/>
              <w:right w:val="single" w:sz="8" w:space="0" w:color="auto"/>
            </w:tcBorders>
            <w:shd w:val="clear" w:color="auto" w:fill="auto"/>
            <w:hideMark/>
          </w:tcPr>
          <w:p w14:paraId="7BB372A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2E41F62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29.11.1985</w:t>
            </w:r>
          </w:p>
        </w:tc>
        <w:tc>
          <w:tcPr>
            <w:tcW w:w="747" w:type="dxa"/>
            <w:tcBorders>
              <w:top w:val="nil"/>
              <w:left w:val="nil"/>
              <w:bottom w:val="single" w:sz="8" w:space="0" w:color="auto"/>
              <w:right w:val="single" w:sz="8" w:space="0" w:color="auto"/>
            </w:tcBorders>
            <w:shd w:val="clear" w:color="auto" w:fill="auto"/>
            <w:hideMark/>
          </w:tcPr>
          <w:p w14:paraId="338C809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10319</w:t>
            </w:r>
          </w:p>
        </w:tc>
        <w:tc>
          <w:tcPr>
            <w:tcW w:w="803" w:type="dxa"/>
            <w:tcBorders>
              <w:top w:val="nil"/>
              <w:left w:val="nil"/>
              <w:bottom w:val="single" w:sz="8" w:space="0" w:color="auto"/>
              <w:right w:val="single" w:sz="8" w:space="0" w:color="auto"/>
            </w:tcBorders>
            <w:shd w:val="clear" w:color="auto" w:fill="auto"/>
            <w:noWrap/>
            <w:hideMark/>
          </w:tcPr>
          <w:p w14:paraId="302E25EE"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C18.4</w:t>
            </w:r>
          </w:p>
        </w:tc>
        <w:tc>
          <w:tcPr>
            <w:tcW w:w="3042" w:type="dxa"/>
            <w:tcBorders>
              <w:top w:val="nil"/>
              <w:left w:val="nil"/>
              <w:bottom w:val="single" w:sz="8" w:space="0" w:color="auto"/>
              <w:right w:val="single" w:sz="8" w:space="0" w:color="auto"/>
            </w:tcBorders>
            <w:shd w:val="clear" w:color="auto" w:fill="auto"/>
            <w:noWrap/>
            <w:hideMark/>
          </w:tcPr>
          <w:p w14:paraId="7571E5B6"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Bösartige Neubildung: </w:t>
            </w:r>
            <w:proofErr w:type="spellStart"/>
            <w:r>
              <w:rPr>
                <w:rFonts w:ascii="Calibri" w:eastAsia="Times New Roman" w:hAnsi="Calibri" w:cs="Times New Roman"/>
                <w:color w:val="000000"/>
                <w:sz w:val="20"/>
                <w:szCs w:val="20"/>
                <w:lang w:eastAsia="de-DE"/>
              </w:rPr>
              <w:t>Colon</w:t>
            </w:r>
            <w:proofErr w:type="spellEnd"/>
            <w:r>
              <w:rPr>
                <w:rFonts w:ascii="Calibri" w:eastAsia="Times New Roman" w:hAnsi="Calibri" w:cs="Times New Roman"/>
                <w:color w:val="000000"/>
                <w:sz w:val="20"/>
                <w:szCs w:val="20"/>
                <w:lang w:eastAsia="de-DE"/>
              </w:rPr>
              <w:t xml:space="preserve"> </w:t>
            </w:r>
            <w:proofErr w:type="spellStart"/>
            <w:r w:rsidRPr="006C6D59">
              <w:rPr>
                <w:rFonts w:ascii="Calibri" w:eastAsia="Times New Roman" w:hAnsi="Calibri" w:cs="Times New Roman"/>
                <w:color w:val="000000"/>
                <w:sz w:val="20"/>
                <w:szCs w:val="20"/>
                <w:lang w:eastAsia="de-DE"/>
              </w:rPr>
              <w:t>transversum</w:t>
            </w:r>
            <w:proofErr w:type="spellEnd"/>
          </w:p>
        </w:tc>
      </w:tr>
      <w:tr w:rsidR="001D0CB2" w14:paraId="4D010A3C"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1AA4F63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Hiltrud</w:t>
            </w:r>
          </w:p>
        </w:tc>
        <w:tc>
          <w:tcPr>
            <w:tcW w:w="1137" w:type="dxa"/>
            <w:tcBorders>
              <w:top w:val="nil"/>
              <w:left w:val="nil"/>
              <w:bottom w:val="single" w:sz="8" w:space="0" w:color="auto"/>
              <w:right w:val="single" w:sz="8" w:space="0" w:color="auto"/>
            </w:tcBorders>
            <w:shd w:val="clear" w:color="auto" w:fill="auto"/>
            <w:hideMark/>
          </w:tcPr>
          <w:p w14:paraId="4586C3A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Niemand</w:t>
            </w:r>
          </w:p>
        </w:tc>
        <w:tc>
          <w:tcPr>
            <w:tcW w:w="1147" w:type="dxa"/>
            <w:tcBorders>
              <w:top w:val="nil"/>
              <w:left w:val="nil"/>
              <w:bottom w:val="single" w:sz="8" w:space="0" w:color="auto"/>
              <w:right w:val="single" w:sz="8" w:space="0" w:color="auto"/>
            </w:tcBorders>
            <w:shd w:val="clear" w:color="auto" w:fill="auto"/>
            <w:hideMark/>
          </w:tcPr>
          <w:p w14:paraId="5E0D6497"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42D8DD2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15.07.1987</w:t>
            </w:r>
          </w:p>
        </w:tc>
        <w:tc>
          <w:tcPr>
            <w:tcW w:w="747" w:type="dxa"/>
            <w:tcBorders>
              <w:top w:val="nil"/>
              <w:left w:val="nil"/>
              <w:bottom w:val="single" w:sz="8" w:space="0" w:color="auto"/>
              <w:right w:val="single" w:sz="8" w:space="0" w:color="auto"/>
            </w:tcBorders>
            <w:shd w:val="clear" w:color="auto" w:fill="auto"/>
            <w:hideMark/>
          </w:tcPr>
          <w:p w14:paraId="14A91B6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10407</w:t>
            </w:r>
          </w:p>
        </w:tc>
        <w:tc>
          <w:tcPr>
            <w:tcW w:w="803" w:type="dxa"/>
            <w:tcBorders>
              <w:top w:val="nil"/>
              <w:left w:val="nil"/>
              <w:bottom w:val="single" w:sz="8" w:space="0" w:color="auto"/>
              <w:right w:val="single" w:sz="8" w:space="0" w:color="auto"/>
            </w:tcBorders>
            <w:shd w:val="clear" w:color="auto" w:fill="auto"/>
            <w:noWrap/>
            <w:hideMark/>
          </w:tcPr>
          <w:p w14:paraId="368C158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D46.1</w:t>
            </w:r>
          </w:p>
        </w:tc>
        <w:tc>
          <w:tcPr>
            <w:tcW w:w="3042" w:type="dxa"/>
            <w:tcBorders>
              <w:top w:val="nil"/>
              <w:left w:val="nil"/>
              <w:bottom w:val="single" w:sz="8" w:space="0" w:color="auto"/>
              <w:right w:val="single" w:sz="8" w:space="0" w:color="auto"/>
            </w:tcBorders>
            <w:shd w:val="clear" w:color="auto" w:fill="auto"/>
            <w:noWrap/>
            <w:hideMark/>
          </w:tcPr>
          <w:p w14:paraId="3722CC36"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Refraktäre Anämie mit </w:t>
            </w:r>
            <w:proofErr w:type="spellStart"/>
            <w:r w:rsidRPr="00F215B1">
              <w:rPr>
                <w:rFonts w:ascii="Calibri" w:eastAsia="Times New Roman" w:hAnsi="Calibri" w:cs="Times New Roman"/>
                <w:color w:val="000000"/>
                <w:sz w:val="20"/>
                <w:szCs w:val="20"/>
                <w:lang w:eastAsia="de-DE"/>
              </w:rPr>
              <w:t>Ringsideroblasten</w:t>
            </w:r>
            <w:proofErr w:type="spellEnd"/>
          </w:p>
        </w:tc>
      </w:tr>
      <w:tr w:rsidR="001D0CB2" w14:paraId="002159B4"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3BF278B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Uwe</w:t>
            </w:r>
          </w:p>
        </w:tc>
        <w:tc>
          <w:tcPr>
            <w:tcW w:w="1137" w:type="dxa"/>
            <w:tcBorders>
              <w:top w:val="nil"/>
              <w:left w:val="nil"/>
              <w:bottom w:val="single" w:sz="8" w:space="0" w:color="auto"/>
              <w:right w:val="single" w:sz="8" w:space="0" w:color="auto"/>
            </w:tcBorders>
            <w:shd w:val="clear" w:color="auto" w:fill="auto"/>
            <w:hideMark/>
          </w:tcPr>
          <w:p w14:paraId="600EB570"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Müller</w:t>
            </w:r>
          </w:p>
        </w:tc>
        <w:tc>
          <w:tcPr>
            <w:tcW w:w="1147" w:type="dxa"/>
            <w:tcBorders>
              <w:top w:val="nil"/>
              <w:left w:val="nil"/>
              <w:bottom w:val="single" w:sz="8" w:space="0" w:color="auto"/>
              <w:right w:val="single" w:sz="8" w:space="0" w:color="auto"/>
            </w:tcBorders>
            <w:shd w:val="clear" w:color="auto" w:fill="auto"/>
            <w:hideMark/>
          </w:tcPr>
          <w:p w14:paraId="2F536E2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2EB6315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31.03.1988</w:t>
            </w:r>
          </w:p>
        </w:tc>
        <w:tc>
          <w:tcPr>
            <w:tcW w:w="747" w:type="dxa"/>
            <w:tcBorders>
              <w:top w:val="nil"/>
              <w:left w:val="nil"/>
              <w:bottom w:val="single" w:sz="8" w:space="0" w:color="auto"/>
              <w:right w:val="single" w:sz="8" w:space="0" w:color="auto"/>
            </w:tcBorders>
            <w:shd w:val="clear" w:color="auto" w:fill="auto"/>
            <w:hideMark/>
          </w:tcPr>
          <w:p w14:paraId="1E901959"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10435</w:t>
            </w:r>
          </w:p>
        </w:tc>
        <w:tc>
          <w:tcPr>
            <w:tcW w:w="803" w:type="dxa"/>
            <w:tcBorders>
              <w:top w:val="nil"/>
              <w:left w:val="nil"/>
              <w:bottom w:val="single" w:sz="8" w:space="0" w:color="auto"/>
              <w:right w:val="single" w:sz="8" w:space="0" w:color="auto"/>
            </w:tcBorders>
            <w:shd w:val="clear" w:color="auto" w:fill="auto"/>
            <w:noWrap/>
            <w:hideMark/>
          </w:tcPr>
          <w:p w14:paraId="1929220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C16.3</w:t>
            </w:r>
          </w:p>
        </w:tc>
        <w:tc>
          <w:tcPr>
            <w:tcW w:w="3042" w:type="dxa"/>
            <w:tcBorders>
              <w:top w:val="nil"/>
              <w:left w:val="nil"/>
              <w:bottom w:val="single" w:sz="8" w:space="0" w:color="auto"/>
              <w:right w:val="single" w:sz="8" w:space="0" w:color="auto"/>
            </w:tcBorders>
            <w:shd w:val="clear" w:color="auto" w:fill="auto"/>
            <w:noWrap/>
            <w:hideMark/>
          </w:tcPr>
          <w:p w14:paraId="5A0B574F"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Bösartige Neubildung: </w:t>
            </w:r>
            <w:proofErr w:type="spellStart"/>
            <w:r>
              <w:rPr>
                <w:rFonts w:ascii="Calibri" w:eastAsia="Times New Roman" w:hAnsi="Calibri" w:cs="Times New Roman"/>
                <w:color w:val="000000"/>
                <w:sz w:val="20"/>
                <w:szCs w:val="20"/>
                <w:lang w:eastAsia="de-DE"/>
              </w:rPr>
              <w:t>Antrum</w:t>
            </w:r>
            <w:proofErr w:type="spellEnd"/>
            <w:r>
              <w:rPr>
                <w:rFonts w:ascii="Calibri" w:eastAsia="Times New Roman" w:hAnsi="Calibri" w:cs="Times New Roman"/>
                <w:color w:val="000000"/>
                <w:sz w:val="20"/>
                <w:szCs w:val="20"/>
                <w:lang w:eastAsia="de-DE"/>
              </w:rPr>
              <w:t xml:space="preserve"> </w:t>
            </w:r>
            <w:proofErr w:type="spellStart"/>
            <w:r w:rsidRPr="006C6D59">
              <w:rPr>
                <w:rFonts w:ascii="Calibri" w:eastAsia="Times New Roman" w:hAnsi="Calibri" w:cs="Times New Roman"/>
                <w:color w:val="000000"/>
                <w:sz w:val="20"/>
                <w:szCs w:val="20"/>
                <w:lang w:eastAsia="de-DE"/>
              </w:rPr>
              <w:t>pyloricum</w:t>
            </w:r>
            <w:proofErr w:type="spellEnd"/>
          </w:p>
        </w:tc>
      </w:tr>
      <w:tr w:rsidR="001D0CB2" w14:paraId="4C883128"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1A7B065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Michael</w:t>
            </w:r>
          </w:p>
        </w:tc>
        <w:tc>
          <w:tcPr>
            <w:tcW w:w="1137" w:type="dxa"/>
            <w:tcBorders>
              <w:top w:val="nil"/>
              <w:left w:val="nil"/>
              <w:bottom w:val="single" w:sz="8" w:space="0" w:color="auto"/>
              <w:right w:val="single" w:sz="8" w:space="0" w:color="auto"/>
            </w:tcBorders>
            <w:shd w:val="clear" w:color="auto" w:fill="auto"/>
            <w:hideMark/>
          </w:tcPr>
          <w:p w14:paraId="7CAFEB8F"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Matuschek</w:t>
            </w:r>
          </w:p>
        </w:tc>
        <w:tc>
          <w:tcPr>
            <w:tcW w:w="1147" w:type="dxa"/>
            <w:tcBorders>
              <w:top w:val="nil"/>
              <w:left w:val="nil"/>
              <w:bottom w:val="single" w:sz="8" w:space="0" w:color="auto"/>
              <w:right w:val="single" w:sz="8" w:space="0" w:color="auto"/>
            </w:tcBorders>
            <w:shd w:val="clear" w:color="auto" w:fill="auto"/>
            <w:hideMark/>
          </w:tcPr>
          <w:p w14:paraId="03ECC9F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2E0DB05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13.04.1968</w:t>
            </w:r>
          </w:p>
        </w:tc>
        <w:tc>
          <w:tcPr>
            <w:tcW w:w="747" w:type="dxa"/>
            <w:tcBorders>
              <w:top w:val="nil"/>
              <w:left w:val="nil"/>
              <w:bottom w:val="single" w:sz="8" w:space="0" w:color="auto"/>
              <w:right w:val="single" w:sz="8" w:space="0" w:color="auto"/>
            </w:tcBorders>
            <w:shd w:val="clear" w:color="auto" w:fill="auto"/>
            <w:hideMark/>
          </w:tcPr>
          <w:p w14:paraId="5E322995"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10439</w:t>
            </w:r>
          </w:p>
        </w:tc>
        <w:tc>
          <w:tcPr>
            <w:tcW w:w="803" w:type="dxa"/>
            <w:tcBorders>
              <w:top w:val="nil"/>
              <w:left w:val="nil"/>
              <w:bottom w:val="single" w:sz="8" w:space="0" w:color="auto"/>
              <w:right w:val="single" w:sz="8" w:space="0" w:color="auto"/>
            </w:tcBorders>
            <w:shd w:val="clear" w:color="auto" w:fill="auto"/>
            <w:noWrap/>
            <w:hideMark/>
          </w:tcPr>
          <w:p w14:paraId="45721345"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D46.2</w:t>
            </w:r>
          </w:p>
        </w:tc>
        <w:tc>
          <w:tcPr>
            <w:tcW w:w="3042" w:type="dxa"/>
            <w:tcBorders>
              <w:top w:val="nil"/>
              <w:left w:val="nil"/>
              <w:bottom w:val="single" w:sz="8" w:space="0" w:color="auto"/>
              <w:right w:val="single" w:sz="8" w:space="0" w:color="auto"/>
            </w:tcBorders>
            <w:shd w:val="clear" w:color="auto" w:fill="auto"/>
            <w:noWrap/>
            <w:hideMark/>
          </w:tcPr>
          <w:p w14:paraId="445A0540"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Refraktäre Anämie mit </w:t>
            </w:r>
            <w:proofErr w:type="spellStart"/>
            <w:r w:rsidRPr="00F215B1">
              <w:rPr>
                <w:rFonts w:ascii="Calibri" w:eastAsia="Times New Roman" w:hAnsi="Calibri" w:cs="Times New Roman"/>
                <w:color w:val="000000"/>
                <w:sz w:val="20"/>
                <w:szCs w:val="20"/>
                <w:lang w:eastAsia="de-DE"/>
              </w:rPr>
              <w:t>Blastenüberschuss</w:t>
            </w:r>
            <w:proofErr w:type="spellEnd"/>
          </w:p>
        </w:tc>
      </w:tr>
      <w:tr w:rsidR="001D0CB2" w14:paraId="5909DD85"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1FD29B42"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Anke</w:t>
            </w:r>
          </w:p>
        </w:tc>
        <w:tc>
          <w:tcPr>
            <w:tcW w:w="1137" w:type="dxa"/>
            <w:tcBorders>
              <w:top w:val="nil"/>
              <w:left w:val="nil"/>
              <w:bottom w:val="single" w:sz="8" w:space="0" w:color="auto"/>
              <w:right w:val="single" w:sz="8" w:space="0" w:color="auto"/>
            </w:tcBorders>
            <w:shd w:val="clear" w:color="auto" w:fill="auto"/>
            <w:hideMark/>
          </w:tcPr>
          <w:p w14:paraId="6D9AF0A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Schmidt</w:t>
            </w:r>
          </w:p>
        </w:tc>
        <w:tc>
          <w:tcPr>
            <w:tcW w:w="1147" w:type="dxa"/>
            <w:tcBorders>
              <w:top w:val="nil"/>
              <w:left w:val="nil"/>
              <w:bottom w:val="single" w:sz="8" w:space="0" w:color="auto"/>
              <w:right w:val="single" w:sz="8" w:space="0" w:color="auto"/>
            </w:tcBorders>
            <w:shd w:val="clear" w:color="auto" w:fill="auto"/>
            <w:hideMark/>
          </w:tcPr>
          <w:p w14:paraId="6C0EB039"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0A8B633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01.04.1978</w:t>
            </w:r>
          </w:p>
        </w:tc>
        <w:tc>
          <w:tcPr>
            <w:tcW w:w="747" w:type="dxa"/>
            <w:tcBorders>
              <w:top w:val="nil"/>
              <w:left w:val="nil"/>
              <w:bottom w:val="single" w:sz="8" w:space="0" w:color="auto"/>
              <w:right w:val="single" w:sz="8" w:space="0" w:color="auto"/>
            </w:tcBorders>
            <w:shd w:val="clear" w:color="auto" w:fill="auto"/>
            <w:hideMark/>
          </w:tcPr>
          <w:p w14:paraId="206AB74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10585</w:t>
            </w:r>
          </w:p>
        </w:tc>
        <w:tc>
          <w:tcPr>
            <w:tcW w:w="803" w:type="dxa"/>
            <w:tcBorders>
              <w:top w:val="nil"/>
              <w:left w:val="nil"/>
              <w:bottom w:val="single" w:sz="8" w:space="0" w:color="auto"/>
              <w:right w:val="single" w:sz="8" w:space="0" w:color="auto"/>
            </w:tcBorders>
            <w:shd w:val="clear" w:color="auto" w:fill="auto"/>
            <w:noWrap/>
            <w:hideMark/>
          </w:tcPr>
          <w:p w14:paraId="39053D3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C50.3</w:t>
            </w:r>
          </w:p>
        </w:tc>
        <w:tc>
          <w:tcPr>
            <w:tcW w:w="3042" w:type="dxa"/>
            <w:tcBorders>
              <w:top w:val="nil"/>
              <w:left w:val="nil"/>
              <w:bottom w:val="single" w:sz="8" w:space="0" w:color="auto"/>
              <w:right w:val="single" w:sz="8" w:space="0" w:color="auto"/>
            </w:tcBorders>
            <w:shd w:val="clear" w:color="auto" w:fill="auto"/>
            <w:noWrap/>
            <w:hideMark/>
          </w:tcPr>
          <w:p w14:paraId="190B13F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Bösartige Neubildung unterer innerer Quadrant Brustdrüse</w:t>
            </w:r>
          </w:p>
        </w:tc>
      </w:tr>
      <w:tr w:rsidR="001D0CB2" w14:paraId="60A37EEB"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6A841BA5"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Kunigunde</w:t>
            </w:r>
          </w:p>
        </w:tc>
        <w:tc>
          <w:tcPr>
            <w:tcW w:w="1137" w:type="dxa"/>
            <w:tcBorders>
              <w:top w:val="nil"/>
              <w:left w:val="nil"/>
              <w:bottom w:val="single" w:sz="8" w:space="0" w:color="auto"/>
              <w:right w:val="single" w:sz="8" w:space="0" w:color="auto"/>
            </w:tcBorders>
            <w:shd w:val="clear" w:color="auto" w:fill="auto"/>
            <w:hideMark/>
          </w:tcPr>
          <w:p w14:paraId="69256B1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Gewaltig</w:t>
            </w:r>
          </w:p>
        </w:tc>
        <w:tc>
          <w:tcPr>
            <w:tcW w:w="1147" w:type="dxa"/>
            <w:tcBorders>
              <w:top w:val="nil"/>
              <w:left w:val="nil"/>
              <w:bottom w:val="single" w:sz="8" w:space="0" w:color="auto"/>
              <w:right w:val="single" w:sz="8" w:space="0" w:color="auto"/>
            </w:tcBorders>
            <w:shd w:val="clear" w:color="auto" w:fill="auto"/>
            <w:hideMark/>
          </w:tcPr>
          <w:p w14:paraId="5B8A75F9"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69DCADC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21.01.1969</w:t>
            </w:r>
          </w:p>
        </w:tc>
        <w:tc>
          <w:tcPr>
            <w:tcW w:w="747" w:type="dxa"/>
            <w:tcBorders>
              <w:top w:val="nil"/>
              <w:left w:val="nil"/>
              <w:bottom w:val="single" w:sz="8" w:space="0" w:color="auto"/>
              <w:right w:val="single" w:sz="8" w:space="0" w:color="auto"/>
            </w:tcBorders>
            <w:shd w:val="clear" w:color="auto" w:fill="auto"/>
            <w:hideMark/>
          </w:tcPr>
          <w:p w14:paraId="5203300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10707</w:t>
            </w:r>
          </w:p>
        </w:tc>
        <w:tc>
          <w:tcPr>
            <w:tcW w:w="803" w:type="dxa"/>
            <w:tcBorders>
              <w:top w:val="nil"/>
              <w:left w:val="nil"/>
              <w:bottom w:val="single" w:sz="8" w:space="0" w:color="auto"/>
              <w:right w:val="single" w:sz="8" w:space="0" w:color="auto"/>
            </w:tcBorders>
            <w:shd w:val="clear" w:color="auto" w:fill="auto"/>
            <w:noWrap/>
            <w:hideMark/>
          </w:tcPr>
          <w:p w14:paraId="5F55CDF0"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F215B1">
              <w:rPr>
                <w:rFonts w:ascii="Calibri" w:eastAsia="Times New Roman" w:hAnsi="Calibri" w:cs="Times New Roman"/>
                <w:color w:val="000000"/>
                <w:sz w:val="20"/>
                <w:szCs w:val="20"/>
                <w:lang w:eastAsia="de-DE"/>
              </w:rPr>
              <w:t>C91.10</w:t>
            </w:r>
          </w:p>
        </w:tc>
        <w:tc>
          <w:tcPr>
            <w:tcW w:w="3042" w:type="dxa"/>
            <w:tcBorders>
              <w:top w:val="nil"/>
              <w:left w:val="nil"/>
              <w:bottom w:val="single" w:sz="8" w:space="0" w:color="auto"/>
              <w:right w:val="single" w:sz="8" w:space="0" w:color="auto"/>
            </w:tcBorders>
            <w:shd w:val="clear" w:color="auto" w:fill="auto"/>
            <w:noWrap/>
            <w:hideMark/>
          </w:tcPr>
          <w:p w14:paraId="79CA4AC6"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Chronische lymphatische Leukämie: </w:t>
            </w:r>
            <w:r w:rsidRPr="00F215B1">
              <w:rPr>
                <w:rFonts w:ascii="Calibri" w:eastAsia="Times New Roman" w:hAnsi="Calibri" w:cs="Times New Roman"/>
                <w:color w:val="000000"/>
                <w:sz w:val="20"/>
                <w:szCs w:val="20"/>
                <w:lang w:eastAsia="de-DE"/>
              </w:rPr>
              <w:t>Ohne</w:t>
            </w:r>
            <w:r>
              <w:rPr>
                <w:rFonts w:ascii="Calibri" w:eastAsia="Times New Roman" w:hAnsi="Calibri" w:cs="Times New Roman"/>
                <w:color w:val="000000"/>
                <w:sz w:val="20"/>
                <w:szCs w:val="20"/>
                <w:lang w:eastAsia="de-DE"/>
              </w:rPr>
              <w:t xml:space="preserve"> Angabe einer kompletten Remission</w:t>
            </w:r>
          </w:p>
        </w:tc>
      </w:tr>
      <w:tr w:rsidR="001D0CB2" w14:paraId="7BC824A8"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7B48FA46"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Franz</w:t>
            </w:r>
          </w:p>
        </w:tc>
        <w:tc>
          <w:tcPr>
            <w:tcW w:w="1137" w:type="dxa"/>
            <w:tcBorders>
              <w:top w:val="nil"/>
              <w:left w:val="nil"/>
              <w:bottom w:val="single" w:sz="8" w:space="0" w:color="auto"/>
              <w:right w:val="single" w:sz="8" w:space="0" w:color="auto"/>
            </w:tcBorders>
            <w:shd w:val="clear" w:color="auto" w:fill="auto"/>
            <w:hideMark/>
          </w:tcPr>
          <w:p w14:paraId="39B647C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Herrlich</w:t>
            </w:r>
          </w:p>
        </w:tc>
        <w:tc>
          <w:tcPr>
            <w:tcW w:w="1147" w:type="dxa"/>
            <w:tcBorders>
              <w:top w:val="nil"/>
              <w:left w:val="nil"/>
              <w:bottom w:val="single" w:sz="8" w:space="0" w:color="auto"/>
              <w:right w:val="single" w:sz="8" w:space="0" w:color="auto"/>
            </w:tcBorders>
            <w:shd w:val="clear" w:color="auto" w:fill="auto"/>
            <w:hideMark/>
          </w:tcPr>
          <w:p w14:paraId="20EBF94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17C5FE4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17.11.1967</w:t>
            </w:r>
          </w:p>
        </w:tc>
        <w:tc>
          <w:tcPr>
            <w:tcW w:w="747" w:type="dxa"/>
            <w:tcBorders>
              <w:top w:val="nil"/>
              <w:left w:val="nil"/>
              <w:bottom w:val="single" w:sz="8" w:space="0" w:color="auto"/>
              <w:right w:val="single" w:sz="8" w:space="0" w:color="auto"/>
            </w:tcBorders>
            <w:shd w:val="clear" w:color="auto" w:fill="auto"/>
            <w:hideMark/>
          </w:tcPr>
          <w:p w14:paraId="21B94842"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10717</w:t>
            </w:r>
          </w:p>
        </w:tc>
        <w:tc>
          <w:tcPr>
            <w:tcW w:w="803" w:type="dxa"/>
            <w:tcBorders>
              <w:top w:val="nil"/>
              <w:left w:val="nil"/>
              <w:bottom w:val="single" w:sz="8" w:space="0" w:color="auto"/>
              <w:right w:val="single" w:sz="8" w:space="0" w:color="auto"/>
            </w:tcBorders>
            <w:shd w:val="clear" w:color="auto" w:fill="auto"/>
            <w:noWrap/>
            <w:hideMark/>
          </w:tcPr>
          <w:p w14:paraId="5C15CA9D"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D12.8</w:t>
            </w:r>
          </w:p>
        </w:tc>
        <w:tc>
          <w:tcPr>
            <w:tcW w:w="3042" w:type="dxa"/>
            <w:tcBorders>
              <w:top w:val="nil"/>
              <w:left w:val="nil"/>
              <w:bottom w:val="single" w:sz="8" w:space="0" w:color="auto"/>
              <w:right w:val="single" w:sz="8" w:space="0" w:color="auto"/>
            </w:tcBorders>
            <w:shd w:val="clear" w:color="auto" w:fill="auto"/>
            <w:noWrap/>
            <w:hideMark/>
          </w:tcPr>
          <w:p w14:paraId="4B0AE38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Gutartige Neubildung: Rektum</w:t>
            </w:r>
          </w:p>
        </w:tc>
      </w:tr>
      <w:tr w:rsidR="001D0CB2" w14:paraId="2B217B7D"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4833471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Berthold</w:t>
            </w:r>
          </w:p>
        </w:tc>
        <w:tc>
          <w:tcPr>
            <w:tcW w:w="1137" w:type="dxa"/>
            <w:tcBorders>
              <w:top w:val="nil"/>
              <w:left w:val="nil"/>
              <w:bottom w:val="single" w:sz="8" w:space="0" w:color="auto"/>
              <w:right w:val="single" w:sz="8" w:space="0" w:color="auto"/>
            </w:tcBorders>
            <w:shd w:val="clear" w:color="auto" w:fill="auto"/>
            <w:hideMark/>
          </w:tcPr>
          <w:p w14:paraId="723AA274"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Koch</w:t>
            </w:r>
          </w:p>
        </w:tc>
        <w:tc>
          <w:tcPr>
            <w:tcW w:w="1147" w:type="dxa"/>
            <w:tcBorders>
              <w:top w:val="nil"/>
              <w:left w:val="nil"/>
              <w:bottom w:val="single" w:sz="8" w:space="0" w:color="auto"/>
              <w:right w:val="single" w:sz="8" w:space="0" w:color="auto"/>
            </w:tcBorders>
            <w:shd w:val="clear" w:color="auto" w:fill="auto"/>
            <w:hideMark/>
          </w:tcPr>
          <w:p w14:paraId="4E77345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w:t>
            </w:r>
          </w:p>
        </w:tc>
        <w:tc>
          <w:tcPr>
            <w:tcW w:w="1147" w:type="dxa"/>
            <w:tcBorders>
              <w:top w:val="nil"/>
              <w:left w:val="nil"/>
              <w:bottom w:val="single" w:sz="8" w:space="0" w:color="auto"/>
              <w:right w:val="single" w:sz="8" w:space="0" w:color="auto"/>
            </w:tcBorders>
            <w:shd w:val="clear" w:color="auto" w:fill="auto"/>
            <w:hideMark/>
          </w:tcPr>
          <w:p w14:paraId="4E1F3B7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28.08.1991</w:t>
            </w:r>
          </w:p>
        </w:tc>
        <w:tc>
          <w:tcPr>
            <w:tcW w:w="747" w:type="dxa"/>
            <w:tcBorders>
              <w:top w:val="nil"/>
              <w:left w:val="nil"/>
              <w:bottom w:val="single" w:sz="8" w:space="0" w:color="auto"/>
              <w:right w:val="single" w:sz="8" w:space="0" w:color="auto"/>
            </w:tcBorders>
            <w:shd w:val="clear" w:color="auto" w:fill="auto"/>
            <w:hideMark/>
          </w:tcPr>
          <w:p w14:paraId="1F39A3A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10717</w:t>
            </w:r>
          </w:p>
        </w:tc>
        <w:tc>
          <w:tcPr>
            <w:tcW w:w="803" w:type="dxa"/>
            <w:tcBorders>
              <w:top w:val="nil"/>
              <w:left w:val="nil"/>
              <w:bottom w:val="single" w:sz="8" w:space="0" w:color="auto"/>
              <w:right w:val="single" w:sz="8" w:space="0" w:color="auto"/>
            </w:tcBorders>
            <w:shd w:val="clear" w:color="auto" w:fill="auto"/>
            <w:noWrap/>
            <w:hideMark/>
          </w:tcPr>
          <w:p w14:paraId="0148A3A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D12.6</w:t>
            </w:r>
          </w:p>
        </w:tc>
        <w:tc>
          <w:tcPr>
            <w:tcW w:w="3042" w:type="dxa"/>
            <w:tcBorders>
              <w:top w:val="nil"/>
              <w:left w:val="nil"/>
              <w:bottom w:val="single" w:sz="8" w:space="0" w:color="auto"/>
              <w:right w:val="single" w:sz="8" w:space="0" w:color="auto"/>
            </w:tcBorders>
            <w:shd w:val="clear" w:color="auto" w:fill="auto"/>
            <w:noWrap/>
            <w:hideMark/>
          </w:tcPr>
          <w:p w14:paraId="5AB9F60F"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Gutartige Neubildung: Kolon, nicht näher </w:t>
            </w:r>
            <w:r w:rsidRPr="00F215B1">
              <w:rPr>
                <w:rFonts w:ascii="Calibri" w:eastAsia="Times New Roman" w:hAnsi="Calibri" w:cs="Times New Roman"/>
                <w:color w:val="000000"/>
                <w:sz w:val="20"/>
                <w:szCs w:val="20"/>
                <w:lang w:eastAsia="de-DE"/>
              </w:rPr>
              <w:t>bezeichnet</w:t>
            </w:r>
          </w:p>
        </w:tc>
      </w:tr>
      <w:tr w:rsidR="001D0CB2" w14:paraId="70C8AF3E"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3E8B27C7"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proofErr w:type="spellStart"/>
            <w:r w:rsidRPr="006C6D59">
              <w:rPr>
                <w:rFonts w:ascii="Calibri" w:eastAsia="Times New Roman" w:hAnsi="Calibri" w:cs="Times New Roman"/>
                <w:color w:val="000000"/>
                <w:sz w:val="20"/>
                <w:szCs w:val="20"/>
                <w:lang w:eastAsia="de-DE"/>
              </w:rPr>
              <w:t>Fieda</w:t>
            </w:r>
            <w:proofErr w:type="spellEnd"/>
          </w:p>
        </w:tc>
        <w:tc>
          <w:tcPr>
            <w:tcW w:w="1137" w:type="dxa"/>
            <w:tcBorders>
              <w:top w:val="nil"/>
              <w:left w:val="nil"/>
              <w:bottom w:val="single" w:sz="8" w:space="0" w:color="auto"/>
              <w:right w:val="single" w:sz="8" w:space="0" w:color="auto"/>
            </w:tcBorders>
            <w:shd w:val="clear" w:color="auto" w:fill="auto"/>
            <w:hideMark/>
          </w:tcPr>
          <w:p w14:paraId="7B81CE10"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Fischer</w:t>
            </w:r>
          </w:p>
        </w:tc>
        <w:tc>
          <w:tcPr>
            <w:tcW w:w="1147" w:type="dxa"/>
            <w:tcBorders>
              <w:top w:val="nil"/>
              <w:left w:val="nil"/>
              <w:bottom w:val="single" w:sz="8" w:space="0" w:color="auto"/>
              <w:right w:val="single" w:sz="8" w:space="0" w:color="auto"/>
            </w:tcBorders>
            <w:shd w:val="clear" w:color="auto" w:fill="auto"/>
            <w:hideMark/>
          </w:tcPr>
          <w:p w14:paraId="3DCB34AC"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37B083E0"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15.11.1987</w:t>
            </w:r>
          </w:p>
        </w:tc>
        <w:tc>
          <w:tcPr>
            <w:tcW w:w="747" w:type="dxa"/>
            <w:tcBorders>
              <w:top w:val="nil"/>
              <w:left w:val="nil"/>
              <w:bottom w:val="single" w:sz="8" w:space="0" w:color="auto"/>
              <w:right w:val="single" w:sz="8" w:space="0" w:color="auto"/>
            </w:tcBorders>
            <w:shd w:val="clear" w:color="auto" w:fill="auto"/>
            <w:hideMark/>
          </w:tcPr>
          <w:p w14:paraId="09BFF69B"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10787</w:t>
            </w:r>
          </w:p>
        </w:tc>
        <w:tc>
          <w:tcPr>
            <w:tcW w:w="803" w:type="dxa"/>
            <w:tcBorders>
              <w:top w:val="nil"/>
              <w:left w:val="nil"/>
              <w:bottom w:val="single" w:sz="8" w:space="0" w:color="auto"/>
              <w:right w:val="single" w:sz="8" w:space="0" w:color="auto"/>
            </w:tcBorders>
            <w:shd w:val="clear" w:color="auto" w:fill="auto"/>
            <w:noWrap/>
            <w:hideMark/>
          </w:tcPr>
          <w:p w14:paraId="24643DB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C50.8</w:t>
            </w:r>
          </w:p>
        </w:tc>
        <w:tc>
          <w:tcPr>
            <w:tcW w:w="3042" w:type="dxa"/>
            <w:tcBorders>
              <w:top w:val="nil"/>
              <w:left w:val="nil"/>
              <w:bottom w:val="single" w:sz="8" w:space="0" w:color="auto"/>
              <w:right w:val="single" w:sz="8" w:space="0" w:color="auto"/>
            </w:tcBorders>
            <w:shd w:val="clear" w:color="auto" w:fill="auto"/>
            <w:noWrap/>
            <w:hideMark/>
          </w:tcPr>
          <w:p w14:paraId="349FC801"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Bösartige Neubildung: Brustdrüse, mehrere Teilbereiche </w:t>
            </w:r>
            <w:r w:rsidRPr="00F215B1">
              <w:rPr>
                <w:rFonts w:ascii="Calibri" w:eastAsia="Times New Roman" w:hAnsi="Calibri" w:cs="Times New Roman"/>
                <w:color w:val="000000"/>
                <w:sz w:val="20"/>
                <w:szCs w:val="20"/>
                <w:lang w:eastAsia="de-DE"/>
              </w:rPr>
              <w:t>überlappend</w:t>
            </w:r>
          </w:p>
        </w:tc>
      </w:tr>
      <w:tr w:rsidR="001D0CB2" w14:paraId="6258CE1F"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5DF7D86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proofErr w:type="spellStart"/>
            <w:r>
              <w:rPr>
                <w:rFonts w:ascii="Calibri" w:eastAsia="Times New Roman" w:hAnsi="Calibri" w:cs="Times New Roman"/>
                <w:color w:val="000000"/>
                <w:sz w:val="20"/>
                <w:szCs w:val="20"/>
                <w:lang w:eastAsia="de-DE"/>
              </w:rPr>
              <w:t>Gerfriede</w:t>
            </w:r>
            <w:proofErr w:type="spellEnd"/>
          </w:p>
        </w:tc>
        <w:tc>
          <w:tcPr>
            <w:tcW w:w="1137" w:type="dxa"/>
            <w:tcBorders>
              <w:top w:val="nil"/>
              <w:left w:val="nil"/>
              <w:bottom w:val="single" w:sz="8" w:space="0" w:color="auto"/>
              <w:right w:val="single" w:sz="8" w:space="0" w:color="auto"/>
            </w:tcBorders>
            <w:shd w:val="clear" w:color="auto" w:fill="auto"/>
            <w:hideMark/>
          </w:tcPr>
          <w:p w14:paraId="0835E36E"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Jensen</w:t>
            </w:r>
          </w:p>
        </w:tc>
        <w:tc>
          <w:tcPr>
            <w:tcW w:w="1147" w:type="dxa"/>
            <w:tcBorders>
              <w:top w:val="nil"/>
              <w:left w:val="nil"/>
              <w:bottom w:val="single" w:sz="8" w:space="0" w:color="auto"/>
              <w:right w:val="single" w:sz="8" w:space="0" w:color="auto"/>
            </w:tcBorders>
            <w:shd w:val="clear" w:color="auto" w:fill="auto"/>
            <w:hideMark/>
          </w:tcPr>
          <w:p w14:paraId="166297AE"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5F61A1D6"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23.07.1983</w:t>
            </w:r>
          </w:p>
        </w:tc>
        <w:tc>
          <w:tcPr>
            <w:tcW w:w="747" w:type="dxa"/>
            <w:tcBorders>
              <w:top w:val="nil"/>
              <w:left w:val="nil"/>
              <w:bottom w:val="single" w:sz="8" w:space="0" w:color="auto"/>
              <w:right w:val="single" w:sz="8" w:space="0" w:color="auto"/>
            </w:tcBorders>
            <w:shd w:val="clear" w:color="auto" w:fill="auto"/>
            <w:hideMark/>
          </w:tcPr>
          <w:p w14:paraId="3F8A6E5A"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10827</w:t>
            </w:r>
          </w:p>
        </w:tc>
        <w:tc>
          <w:tcPr>
            <w:tcW w:w="803" w:type="dxa"/>
            <w:tcBorders>
              <w:top w:val="nil"/>
              <w:left w:val="nil"/>
              <w:bottom w:val="single" w:sz="8" w:space="0" w:color="auto"/>
              <w:right w:val="single" w:sz="8" w:space="0" w:color="auto"/>
            </w:tcBorders>
            <w:shd w:val="clear" w:color="auto" w:fill="auto"/>
            <w:noWrap/>
            <w:hideMark/>
          </w:tcPr>
          <w:p w14:paraId="3CB843D8"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C50.1</w:t>
            </w:r>
          </w:p>
        </w:tc>
        <w:tc>
          <w:tcPr>
            <w:tcW w:w="3042" w:type="dxa"/>
            <w:tcBorders>
              <w:top w:val="nil"/>
              <w:left w:val="nil"/>
              <w:bottom w:val="single" w:sz="8" w:space="0" w:color="auto"/>
              <w:right w:val="single" w:sz="8" w:space="0" w:color="auto"/>
            </w:tcBorders>
            <w:shd w:val="clear" w:color="auto" w:fill="auto"/>
            <w:noWrap/>
            <w:hideMark/>
          </w:tcPr>
          <w:p w14:paraId="040F8472"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Bösartige Neubildung: </w:t>
            </w:r>
            <w:r w:rsidRPr="00F215B1">
              <w:rPr>
                <w:rFonts w:ascii="Calibri" w:eastAsia="Times New Roman" w:hAnsi="Calibri" w:cs="Times New Roman"/>
                <w:color w:val="000000"/>
                <w:sz w:val="20"/>
                <w:szCs w:val="20"/>
                <w:lang w:eastAsia="de-DE"/>
              </w:rPr>
              <w:t>Zentraler</w:t>
            </w:r>
            <w:r>
              <w:rPr>
                <w:rFonts w:ascii="Calibri" w:eastAsia="Times New Roman" w:hAnsi="Calibri" w:cs="Times New Roman"/>
                <w:color w:val="000000"/>
                <w:sz w:val="20"/>
                <w:szCs w:val="20"/>
                <w:lang w:eastAsia="de-DE"/>
              </w:rPr>
              <w:t xml:space="preserve"> Drüsenkörper der Brustdrüse</w:t>
            </w:r>
          </w:p>
        </w:tc>
      </w:tr>
      <w:tr w:rsidR="001D0CB2" w14:paraId="58B32DD0" w14:textId="77777777" w:rsidTr="00072F0D">
        <w:trPr>
          <w:trHeight w:val="315"/>
        </w:trPr>
        <w:tc>
          <w:tcPr>
            <w:tcW w:w="1133" w:type="dxa"/>
            <w:tcBorders>
              <w:top w:val="nil"/>
              <w:left w:val="single" w:sz="8" w:space="0" w:color="auto"/>
              <w:bottom w:val="single" w:sz="8" w:space="0" w:color="auto"/>
              <w:right w:val="single" w:sz="8" w:space="0" w:color="auto"/>
            </w:tcBorders>
            <w:shd w:val="clear" w:color="auto" w:fill="auto"/>
            <w:hideMark/>
          </w:tcPr>
          <w:p w14:paraId="03E86AC2"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Käthe</w:t>
            </w:r>
          </w:p>
        </w:tc>
        <w:tc>
          <w:tcPr>
            <w:tcW w:w="1137" w:type="dxa"/>
            <w:tcBorders>
              <w:top w:val="nil"/>
              <w:left w:val="nil"/>
              <w:bottom w:val="single" w:sz="8" w:space="0" w:color="auto"/>
              <w:right w:val="single" w:sz="8" w:space="0" w:color="auto"/>
            </w:tcBorders>
            <w:shd w:val="clear" w:color="auto" w:fill="auto"/>
            <w:hideMark/>
          </w:tcPr>
          <w:p w14:paraId="065452BF"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Albers</w:t>
            </w:r>
          </w:p>
        </w:tc>
        <w:tc>
          <w:tcPr>
            <w:tcW w:w="1147" w:type="dxa"/>
            <w:tcBorders>
              <w:top w:val="nil"/>
              <w:left w:val="nil"/>
              <w:bottom w:val="single" w:sz="8" w:space="0" w:color="auto"/>
              <w:right w:val="single" w:sz="8" w:space="0" w:color="auto"/>
            </w:tcBorders>
            <w:shd w:val="clear" w:color="auto" w:fill="auto"/>
            <w:hideMark/>
          </w:tcPr>
          <w:p w14:paraId="6BF71AB0"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W</w:t>
            </w:r>
          </w:p>
        </w:tc>
        <w:tc>
          <w:tcPr>
            <w:tcW w:w="1147" w:type="dxa"/>
            <w:tcBorders>
              <w:top w:val="nil"/>
              <w:left w:val="nil"/>
              <w:bottom w:val="single" w:sz="8" w:space="0" w:color="auto"/>
              <w:right w:val="single" w:sz="8" w:space="0" w:color="auto"/>
            </w:tcBorders>
            <w:shd w:val="clear" w:color="auto" w:fill="auto"/>
            <w:hideMark/>
          </w:tcPr>
          <w:p w14:paraId="01C7BFB6"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27.05.1975</w:t>
            </w:r>
          </w:p>
        </w:tc>
        <w:tc>
          <w:tcPr>
            <w:tcW w:w="747" w:type="dxa"/>
            <w:tcBorders>
              <w:top w:val="nil"/>
              <w:left w:val="nil"/>
              <w:bottom w:val="single" w:sz="8" w:space="0" w:color="auto"/>
              <w:right w:val="single" w:sz="8" w:space="0" w:color="auto"/>
            </w:tcBorders>
            <w:shd w:val="clear" w:color="auto" w:fill="auto"/>
            <w:hideMark/>
          </w:tcPr>
          <w:p w14:paraId="671260A3"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10963</w:t>
            </w:r>
          </w:p>
        </w:tc>
        <w:tc>
          <w:tcPr>
            <w:tcW w:w="803" w:type="dxa"/>
            <w:tcBorders>
              <w:top w:val="nil"/>
              <w:left w:val="nil"/>
              <w:bottom w:val="single" w:sz="8" w:space="0" w:color="auto"/>
              <w:right w:val="single" w:sz="8" w:space="0" w:color="auto"/>
            </w:tcBorders>
            <w:shd w:val="clear" w:color="auto" w:fill="auto"/>
            <w:noWrap/>
            <w:hideMark/>
          </w:tcPr>
          <w:p w14:paraId="47123DE9"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sidRPr="006C6D59">
              <w:rPr>
                <w:rFonts w:ascii="Calibri" w:eastAsia="Times New Roman" w:hAnsi="Calibri" w:cs="Times New Roman"/>
                <w:color w:val="000000"/>
                <w:sz w:val="20"/>
                <w:szCs w:val="20"/>
                <w:lang w:eastAsia="de-DE"/>
              </w:rPr>
              <w:t>C83.0</w:t>
            </w:r>
          </w:p>
        </w:tc>
        <w:tc>
          <w:tcPr>
            <w:tcW w:w="3042" w:type="dxa"/>
            <w:tcBorders>
              <w:top w:val="nil"/>
              <w:left w:val="nil"/>
              <w:bottom w:val="single" w:sz="8" w:space="0" w:color="auto"/>
              <w:right w:val="single" w:sz="8" w:space="0" w:color="auto"/>
            </w:tcBorders>
            <w:shd w:val="clear" w:color="auto" w:fill="auto"/>
            <w:noWrap/>
            <w:hideMark/>
          </w:tcPr>
          <w:p w14:paraId="21DDE552" w14:textId="77777777" w:rsidR="001D0CB2" w:rsidRDefault="00E27FE2" w:rsidP="00072F0D">
            <w:pPr>
              <w:spacing w:after="0" w:line="240" w:lineRule="auto"/>
              <w:jc w:val="lef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Non-Hodgkin-Lymphom: </w:t>
            </w:r>
            <w:r w:rsidRPr="00F215B1">
              <w:rPr>
                <w:rFonts w:ascii="Calibri" w:eastAsia="Times New Roman" w:hAnsi="Calibri" w:cs="Times New Roman"/>
                <w:color w:val="000000"/>
                <w:sz w:val="20"/>
                <w:szCs w:val="20"/>
                <w:lang w:eastAsia="de-DE"/>
              </w:rPr>
              <w:t>Kleinzellig</w:t>
            </w:r>
            <w:r>
              <w:rPr>
                <w:rFonts w:ascii="Calibri" w:eastAsia="Times New Roman" w:hAnsi="Calibri" w:cs="Times New Roman"/>
                <w:color w:val="000000"/>
                <w:sz w:val="20"/>
                <w:szCs w:val="20"/>
                <w:lang w:eastAsia="de-DE"/>
              </w:rPr>
              <w:t xml:space="preserve"> (diffus)</w:t>
            </w:r>
          </w:p>
        </w:tc>
      </w:tr>
    </w:tbl>
    <w:p w14:paraId="6CF17926" w14:textId="77777777" w:rsidR="001D0CB2" w:rsidRDefault="00E27FE2">
      <w:pPr>
        <w:pStyle w:val="Beschriftung"/>
        <w:rPr>
          <w:noProof/>
        </w:rPr>
      </w:pPr>
      <w:bookmarkStart w:id="65" w:name="_Ref512152891"/>
      <w:bookmarkStart w:id="66" w:name="_Toc517507998"/>
      <w:r>
        <w:t xml:space="preserve">Tabelle </w:t>
      </w:r>
      <w:fldSimple w:instr=" SEQ Tabelle \* ARABIC ">
        <w:r w:rsidR="00072F0D">
          <w:rPr>
            <w:noProof/>
          </w:rPr>
          <w:t>1</w:t>
        </w:r>
      </w:fldSimple>
      <w:bookmarkEnd w:id="65"/>
      <w:r>
        <w:t>:</w:t>
      </w:r>
      <w:r>
        <w:rPr>
          <w:noProof/>
        </w:rPr>
        <w:t xml:space="preserve"> Beispieldaten mit onkologischen Erkrankungen</w:t>
      </w:r>
      <w:bookmarkEnd w:id="66"/>
    </w:p>
    <w:p w14:paraId="06C198ED" w14:textId="77777777" w:rsidR="001D0CB2" w:rsidRDefault="001D0CB2"/>
    <w:p w14:paraId="4C1461C9"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44F843DF" w14:textId="77777777" w:rsidR="001D0CB2" w:rsidRDefault="00E27FE2">
      <w:pPr>
        <w:pStyle w:val="berschrift1"/>
      </w:pPr>
      <w:bookmarkStart w:id="67" w:name="_Toc517507946"/>
      <w:r>
        <w:lastRenderedPageBreak/>
        <w:t>Begriffsbestimmungen</w:t>
      </w:r>
      <w:bookmarkEnd w:id="67"/>
    </w:p>
    <w:p w14:paraId="0350926A" w14:textId="77777777" w:rsidR="001D0CB2" w:rsidRDefault="00E27FE2">
      <w:pPr>
        <w:pStyle w:val="berschrift2"/>
      </w:pPr>
      <w:bookmarkStart w:id="68" w:name="_Toc517507947"/>
      <w:r>
        <w:t>Personenbezogene Daten</w:t>
      </w:r>
      <w:bookmarkEnd w:id="68"/>
    </w:p>
    <w:p w14:paraId="450D9C2A" w14:textId="539D81C4" w:rsidR="001D0CB2" w:rsidRDefault="00E27FE2">
      <w:r>
        <w:t xml:space="preserve">Entsprechend Art. 4 </w:t>
      </w:r>
      <w:r w:rsidRPr="006C6D59">
        <w:t>Ziff</w:t>
      </w:r>
      <w:r>
        <w:t xml:space="preserve">. 1 DS-GVO sind personenbezogene Daten „alle Informationen, die sich auf eine identifizierte oder identifizierbare natürliche Person beziehen“. Damit fallen nicht nur Informationen darunter, </w:t>
      </w:r>
      <w:r w:rsidR="00B32225">
        <w:t>welche</w:t>
      </w:r>
      <w:r>
        <w:t xml:space="preserve"> direkt eine Person identifizieren, sondern auch alle Informationen, welche über Zwischenschritte eine Person identifizieren. D. h.</w:t>
      </w:r>
      <w:r w:rsidR="00B32225">
        <w:t xml:space="preserve"> </w:t>
      </w:r>
      <w:r>
        <w:t>soweit und solange die Informationen aus sich heraus Rückschluss auf eine einzelne Person zulassen, handelt es sich um Daten einer bestimmten Person</w:t>
      </w:r>
      <w:bookmarkStart w:id="69" w:name="_Ref512320579"/>
      <w:r>
        <w:rPr>
          <w:rStyle w:val="Funotenzeichen"/>
        </w:rPr>
        <w:footnoteReference w:id="1"/>
      </w:r>
      <w:bookmarkEnd w:id="69"/>
      <w:r>
        <w:t>.</w:t>
      </w:r>
    </w:p>
    <w:p w14:paraId="362CBED1" w14:textId="6E8875B9" w:rsidR="001D0CB2" w:rsidRDefault="00E27FE2">
      <w:r>
        <w:t>Der Begriff „identifizierbar“ muss daher im Sinne von „als Einzelperson wahrnehmbar“ bzw. einer „Einzelperson zuordenbar“ verstanden werden.</w:t>
      </w:r>
    </w:p>
    <w:p w14:paraId="24EBCBBD" w14:textId="679BFD31" w:rsidR="00271C2A" w:rsidRDefault="00E27FE2">
      <w:r>
        <w:t xml:space="preserve">Die Identifizierbarkeit ist damit Dreh- und Angelpunkt </w:t>
      </w:r>
      <w:r w:rsidR="00922D5B">
        <w:t>hinsichtlich der Beurteilung, ob Daten als anonym oder pseudonym angesehen werden können</w:t>
      </w:r>
      <w:r>
        <w:t>.</w:t>
      </w:r>
    </w:p>
    <w:p w14:paraId="5C60B97A" w14:textId="2344E401" w:rsidR="001D0CB2" w:rsidRDefault="00E27FE2">
      <w:pPr>
        <w:pStyle w:val="berschrift2"/>
      </w:pPr>
      <w:bookmarkStart w:id="70" w:name="_Toc517507948"/>
      <w:r>
        <w:t>Pseudonymisierung</w:t>
      </w:r>
      <w:bookmarkEnd w:id="70"/>
    </w:p>
    <w:p w14:paraId="05B8640D" w14:textId="77777777" w:rsidR="001D0CB2" w:rsidRDefault="00E27FE2">
      <w:pPr>
        <w:spacing w:after="0"/>
      </w:pPr>
      <w:r>
        <w:t xml:space="preserve">Der Begriff der Pseudonymisierung wird in Art. 4 </w:t>
      </w:r>
      <w:r w:rsidRPr="006C6D59">
        <w:t>Ziff</w:t>
      </w:r>
      <w:r>
        <w:t>. 5 DS-GVO definiert. Dort heißt es:</w:t>
      </w:r>
    </w:p>
    <w:p w14:paraId="0DE2FB53" w14:textId="77777777" w:rsidR="001D0CB2" w:rsidRDefault="00E27FE2">
      <w:pPr>
        <w:ind w:left="576"/>
      </w:pPr>
      <w: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57D06642" w14:textId="0C59AE49" w:rsidR="001D0CB2" w:rsidRDefault="00E27FE2">
      <w:pPr>
        <w:spacing w:after="0"/>
      </w:pPr>
      <w:r>
        <w:t>Dieser Definition folgend charakterisiert eine Pseudonymisierung daher Nachfolgendes:</w:t>
      </w:r>
    </w:p>
    <w:p w14:paraId="70EFDA46" w14:textId="77777777" w:rsidR="001D0CB2" w:rsidRDefault="00E27FE2">
      <w:pPr>
        <w:pStyle w:val="Listenabsatz"/>
        <w:numPr>
          <w:ilvl w:val="0"/>
          <w:numId w:val="3"/>
        </w:numPr>
      </w:pPr>
      <w:r>
        <w:t>Die Pseudonymisierung ist eine Verarbeitung personenbezogener Daten.</w:t>
      </w:r>
    </w:p>
    <w:p w14:paraId="3C95A9A3" w14:textId="7C5C20CD" w:rsidR="001D0CB2" w:rsidRDefault="00E27FE2">
      <w:pPr>
        <w:pStyle w:val="Listenabsatz"/>
        <w:numPr>
          <w:ilvl w:val="0"/>
          <w:numId w:val="3"/>
        </w:numPr>
      </w:pPr>
      <w:r>
        <w:t>Pseudonyme Daten sind Daten, die ohne weitere Informationen einer spezifischen Person nicht zuordenbar sind.</w:t>
      </w:r>
    </w:p>
    <w:p w14:paraId="185FD00F" w14:textId="77777777" w:rsidR="00271C2A" w:rsidRDefault="00E27FE2">
      <w:pPr>
        <w:pStyle w:val="Listenabsatz"/>
        <w:numPr>
          <w:ilvl w:val="0"/>
          <w:numId w:val="3"/>
        </w:numPr>
      </w:pPr>
      <w:r>
        <w:t xml:space="preserve">Die zur </w:t>
      </w:r>
      <w:r w:rsidRPr="00F215B1">
        <w:t>Zuordenbarkeit</w:t>
      </w:r>
      <w:r>
        <w:t xml:space="preserve"> benötigten Informationen stehen dem Verantwortlichen nicht zur Verfügung, </w:t>
      </w:r>
      <w:r w:rsidRPr="00F215B1">
        <w:t>sondern</w:t>
      </w:r>
    </w:p>
    <w:p w14:paraId="27E5D5B0" w14:textId="04F3CF2E" w:rsidR="001D0CB2" w:rsidRDefault="00E27FE2">
      <w:pPr>
        <w:pStyle w:val="Listenabsatz"/>
        <w:numPr>
          <w:ilvl w:val="1"/>
          <w:numId w:val="3"/>
        </w:numPr>
      </w:pPr>
      <w:r w:rsidRPr="00F215B1">
        <w:t>werden</w:t>
      </w:r>
      <w:r>
        <w:t xml:space="preserve"> gesondert aufbewahrt </w:t>
      </w:r>
      <w:r w:rsidRPr="00F215B1">
        <w:rPr>
          <w:u w:val="single"/>
        </w:rPr>
        <w:t>und</w:t>
      </w:r>
    </w:p>
    <w:p w14:paraId="3743936F" w14:textId="77777777" w:rsidR="001D0CB2" w:rsidRDefault="00E27FE2">
      <w:pPr>
        <w:pStyle w:val="Listenabsatz"/>
        <w:numPr>
          <w:ilvl w:val="1"/>
          <w:numId w:val="3"/>
        </w:numPr>
      </w:pPr>
      <w:r w:rsidRPr="00F215B1">
        <w:t>sind</w:t>
      </w:r>
      <w:r>
        <w:t xml:space="preserve"> durch technische und organisatorische Maßnahmen vor dem Zugriff durch den Verantwortlichen geschützt.</w:t>
      </w:r>
    </w:p>
    <w:p w14:paraId="367BE2A4" w14:textId="202675B8" w:rsidR="001D0CB2" w:rsidRDefault="00E27FE2">
      <w:pPr>
        <w:pStyle w:val="Listenabsatz"/>
        <w:numPr>
          <w:ilvl w:val="0"/>
          <w:numId w:val="11"/>
        </w:numPr>
      </w:pPr>
      <w:r>
        <w:t xml:space="preserve">Für den Verantwortlichen besteht bei der Verarbeitung </w:t>
      </w:r>
      <w:r w:rsidRPr="00F215B1">
        <w:t>pseudonymisierter</w:t>
      </w:r>
      <w:r>
        <w:t xml:space="preserve"> Daten</w:t>
      </w:r>
      <w:r w:rsidR="00B32225">
        <w:t xml:space="preserve"> </w:t>
      </w:r>
      <w:r>
        <w:t>keine Möglichkeit der Identifizierung der betroffenen Person.</w:t>
      </w:r>
    </w:p>
    <w:tbl>
      <w:tblPr>
        <w:tblStyle w:val="Tabellenraster"/>
        <w:tblW w:w="0" w:type="auto"/>
        <w:tblLook w:val="04A0" w:firstRow="1" w:lastRow="0" w:firstColumn="1" w:lastColumn="0" w:noHBand="0" w:noVBand="1"/>
      </w:tblPr>
      <w:tblGrid>
        <w:gridCol w:w="9212"/>
      </w:tblGrid>
      <w:tr w:rsidR="001D0CB2" w14:paraId="4C994A00" w14:textId="77777777">
        <w:tc>
          <w:tcPr>
            <w:tcW w:w="9212" w:type="dxa"/>
            <w:tcBorders>
              <w:top w:val="single" w:sz="12" w:space="0" w:color="auto"/>
              <w:left w:val="single" w:sz="12" w:space="0" w:color="auto"/>
              <w:bottom w:val="single" w:sz="12" w:space="0" w:color="auto"/>
              <w:right w:val="single" w:sz="12" w:space="0" w:color="auto"/>
            </w:tcBorders>
          </w:tcPr>
          <w:p w14:paraId="49B274D6" w14:textId="77777777" w:rsidR="001D0CB2" w:rsidRDefault="00E27FE2">
            <w:pPr>
              <w:tabs>
                <w:tab w:val="left" w:pos="851"/>
              </w:tabs>
              <w:spacing w:before="120"/>
              <w:ind w:left="567" w:hanging="567"/>
              <w:contextualSpacing/>
            </w:pPr>
            <w:r>
              <w:rPr>
                <w:highlight w:val="yellow"/>
              </w:rPr>
              <w:t>Hinweis:</w:t>
            </w:r>
            <w:r>
              <w:tab/>
            </w:r>
            <w:r w:rsidRPr="006C6D59">
              <w:t>ErwGr</w:t>
            </w:r>
            <w:r>
              <w:t>. 26 führt aus, dass zur Feststellung, ob eine natürliche Person identifizierbar ist, alle Mittel berücksichtigt werden sollten, die von dem Verantwortlichen oder einer anderen Person nach allgemeinem Ermessen wahrscheinlich genutzt werden, um die natürliche Person direkt oder indirekt zu identifizieren.</w:t>
            </w:r>
          </w:p>
          <w:p w14:paraId="5E39059D" w14:textId="77777777" w:rsidR="001D0CB2" w:rsidRDefault="00E27FE2">
            <w:pPr>
              <w:spacing w:after="120"/>
              <w:ind w:left="567"/>
            </w:pPr>
            <w:r>
              <w:t>Bei der Feststellung, ob Mittel nach allgemeinem Ermessen wahrscheinlich zur Identifizierung der natürlichen Person genutzt werden, sollten alle objektiven Faktoren, wie die Kosten der Identifizierung und der dafür erforderliche Zeitaufwand, herangezogen werden, wobei die zum Zeitpunkt der Verarbeitung verfügbare Technologie und technologische Entwicklungen zu berücksichtigen sind.</w:t>
            </w:r>
          </w:p>
        </w:tc>
      </w:tr>
    </w:tbl>
    <w:p w14:paraId="5EA0468A" w14:textId="77777777" w:rsidR="001D0CB2" w:rsidRDefault="00E27FE2">
      <w:pPr>
        <w:pStyle w:val="berschrift2"/>
      </w:pPr>
      <w:bookmarkStart w:id="71" w:name="_Toc517507949"/>
      <w:r>
        <w:lastRenderedPageBreak/>
        <w:t>Pseudonyme Daten</w:t>
      </w:r>
      <w:bookmarkEnd w:id="71"/>
    </w:p>
    <w:p w14:paraId="35FBCAFF" w14:textId="17A7587A" w:rsidR="004C4805" w:rsidRDefault="00E27FE2">
      <w:r>
        <w:t>Entsprechend der in der DS-GVO enthaltenen Definition von Pseudonymisierung sind demnach pseudonyme Daten solche Daten, welche der oder die Verantwortlichen keiner spezifischen Person zuordnen können, jedoch für andere durch die Einbeziehung weitergehender Informationen („Zuordnungsregeln“) die grundsätzliche Möglichkeit der Zuordnung besteht. Dafür ist es</w:t>
      </w:r>
      <w:r w:rsidR="00271C2A">
        <w:t xml:space="preserve"> </w:t>
      </w:r>
      <w:r>
        <w:t xml:space="preserve">nicht erforderlich, dass die betroffene Person durch die „Re-Identifizierung“ mit bürgerlichem Namen zu identifizieren </w:t>
      </w:r>
      <w:r w:rsidRPr="00F215B1">
        <w:t>ist</w:t>
      </w:r>
      <w:r w:rsidRPr="00F215B1">
        <w:rPr>
          <w:vertAlign w:val="superscript"/>
        </w:rPr>
        <w:fldChar w:fldCharType="begin"/>
      </w:r>
      <w:r w:rsidRPr="00F215B1">
        <w:rPr>
          <w:vertAlign w:val="superscript"/>
        </w:rPr>
        <w:instrText xml:space="preserve"> NOTEREF _Ref512320579 \h  \* MERGEFORMAT </w:instrText>
      </w:r>
      <w:r w:rsidRPr="00F215B1">
        <w:rPr>
          <w:vertAlign w:val="superscript"/>
        </w:rPr>
      </w:r>
      <w:r w:rsidRPr="00F215B1">
        <w:rPr>
          <w:vertAlign w:val="superscript"/>
        </w:rPr>
        <w:fldChar w:fldCharType="separate"/>
      </w:r>
      <w:r w:rsidR="00072F0D">
        <w:rPr>
          <w:vertAlign w:val="superscript"/>
        </w:rPr>
        <w:t>1</w:t>
      </w:r>
      <w:r w:rsidRPr="00F215B1">
        <w:rPr>
          <w:vertAlign w:val="superscript"/>
        </w:rPr>
        <w:fldChar w:fldCharType="end"/>
      </w:r>
      <w:r>
        <w:t xml:space="preserve">. Ausreichend ist vielmehr, wenn durch das Datum bzw. die Daten die betroffene Person individualisiert </w:t>
      </w:r>
      <w:r w:rsidRPr="00F215B1">
        <w:t>wird</w:t>
      </w:r>
      <w:r>
        <w:t xml:space="preserve"> und </w:t>
      </w:r>
      <w:r w:rsidRPr="00F215B1">
        <w:t>Aussagen</w:t>
      </w:r>
      <w:r>
        <w:t xml:space="preserve"> über deren sachliche und persönliche Verhältnisse möglich sind; ein Name muss nicht vorhanden sein</w:t>
      </w:r>
      <w:r>
        <w:rPr>
          <w:rStyle w:val="Funotenzeichen"/>
        </w:rPr>
        <w:footnoteReference w:id="2"/>
      </w:r>
      <w:r>
        <w:t>.</w:t>
      </w:r>
    </w:p>
    <w:p w14:paraId="4EC60B64" w14:textId="77777777" w:rsidR="001D0CB2" w:rsidRDefault="00E27FE2">
      <w:pPr>
        <w:pStyle w:val="berschrift2"/>
      </w:pPr>
      <w:bookmarkStart w:id="72" w:name="_Toc517507950"/>
      <w:r>
        <w:t>Anonyme Daten</w:t>
      </w:r>
      <w:bookmarkEnd w:id="72"/>
    </w:p>
    <w:p w14:paraId="1EAFC942" w14:textId="7E7EE7E9" w:rsidR="001D0CB2" w:rsidRDefault="00E27FE2">
      <w:r>
        <w:t xml:space="preserve">Entsprechend </w:t>
      </w:r>
      <w:r w:rsidRPr="006C6D59">
        <w:t>ErwGr</w:t>
      </w:r>
      <w:r>
        <w:t xml:space="preserve">. 26 DS-GVO sollten die Vorgaben der DS-GVO nicht für anonyme Daten gelten. </w:t>
      </w:r>
      <w:r w:rsidRPr="00F215B1">
        <w:t>D. h.</w:t>
      </w:r>
      <w:r>
        <w:t xml:space="preserve"> für anonyme Daten gelten die Anforderungen der DS-GVO nicht. Jedoch muss der Verantwortliche, u. a. der Rechenschaftspflicht aus Art. 5 Abs. 2 DS-GVO folgend, zu jedem Zeitpunkt der Verarbeitung (und damit insbesondere auch während der gesamten Speicherdauer) nachweisen können, dass es sich um anonyme Daten handelt.</w:t>
      </w:r>
    </w:p>
    <w:p w14:paraId="229CE606" w14:textId="22A806AF" w:rsidR="001D0CB2" w:rsidRDefault="00E27FE2">
      <w:r>
        <w:t xml:space="preserve">Daraus ergibt sich im Umkehrschluss, dass anonyme Daten weder direkt personenbezogene Daten noch </w:t>
      </w:r>
      <w:r w:rsidRPr="00F215B1">
        <w:t>pseudonymisierte</w:t>
      </w:r>
      <w:r>
        <w:t xml:space="preserve"> Daten sein können.</w:t>
      </w:r>
      <w:r w:rsidR="00922D5B">
        <w:t xml:space="preserve"> </w:t>
      </w:r>
      <w:r>
        <w:t>D. h., anonyme Daten sind Daten, bei denen keine Zuordnungsmöglichkeit zu einer spezifischen betroffenen Person existiert</w:t>
      </w:r>
      <w:r>
        <w:rPr>
          <w:rStyle w:val="Funotenzeichen"/>
        </w:rPr>
        <w:footnoteReference w:id="3"/>
      </w:r>
      <w:r>
        <w:t>.</w:t>
      </w:r>
    </w:p>
    <w:tbl>
      <w:tblPr>
        <w:tblStyle w:val="Tabellenraster"/>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212"/>
      </w:tblGrid>
      <w:tr w:rsidR="001D0CB2" w14:paraId="119FE023" w14:textId="77777777">
        <w:tc>
          <w:tcPr>
            <w:tcW w:w="9212" w:type="dxa"/>
          </w:tcPr>
          <w:p w14:paraId="78312D32" w14:textId="27C3E0AD" w:rsidR="001D0CB2" w:rsidRDefault="00E27FE2" w:rsidP="00F215B1">
            <w:pPr>
              <w:spacing w:before="120" w:after="120"/>
              <w:ind w:left="567" w:hanging="567"/>
            </w:pPr>
            <w:r>
              <w:rPr>
                <w:highlight w:val="yellow"/>
              </w:rPr>
              <w:t>Cave:</w:t>
            </w:r>
            <w:r>
              <w:tab/>
              <w:t xml:space="preserve">Anders als im </w:t>
            </w:r>
            <w:r w:rsidRPr="006C6D59">
              <w:t>BDSG</w:t>
            </w:r>
            <w:r>
              <w:t xml:space="preserve"> </w:t>
            </w:r>
            <w:r w:rsidRPr="00F215B1">
              <w:t>a.F.</w:t>
            </w:r>
            <w:r>
              <w:t xml:space="preserve"> bedeutet „anonym“ unter der DS-GVO, dass keine Möglichkeit zur Re-Identifikation besteht; eine Abwägung wie in § 3 </w:t>
            </w:r>
            <w:r w:rsidRPr="006C6D59">
              <w:t>Ziff</w:t>
            </w:r>
            <w:r>
              <w:t>.</w:t>
            </w:r>
            <w:r w:rsidR="00F215B1" w:rsidRPr="00F215B1">
              <w:t> </w:t>
            </w:r>
            <w:r w:rsidRPr="00F215B1">
              <w:t xml:space="preserve">6 BDSG a.F. </w:t>
            </w:r>
            <w:r>
              <w:t>„[…] oder nur mit einem unverhältnismäßig großen Aufwand an Zeit, Kosten und Arbeitskraft […]“ ist unter der DS-GVO nicht vorgesehen. Daher gilt, dass wenn eine Möglichkeit der Zuordnung der Daten zu einer spezifischen betroffenen Person existiert, die Daten keine anonymen Daten sind.</w:t>
            </w:r>
          </w:p>
        </w:tc>
      </w:tr>
    </w:tbl>
    <w:p w14:paraId="664D34F0" w14:textId="77777777" w:rsidR="00922D5B" w:rsidRDefault="00922D5B" w:rsidP="00922D5B">
      <w:bookmarkStart w:id="73" w:name="_Toc517507951"/>
    </w:p>
    <w:p w14:paraId="19A570E4" w14:textId="77777777" w:rsidR="001D0CB2" w:rsidRDefault="00E27FE2">
      <w:pPr>
        <w:pStyle w:val="berschrift2"/>
      </w:pPr>
      <w:r>
        <w:t>Anonymisierung</w:t>
      </w:r>
      <w:bookmarkEnd w:id="73"/>
    </w:p>
    <w:p w14:paraId="6593CE34" w14:textId="77777777" w:rsidR="00B32225" w:rsidRDefault="00E27FE2">
      <w:r>
        <w:t>Anonymisierung ist die Verarbeitung personenbezogener Daten in einer Weise, dass die personenbezogenen Daten nicht mehr einer spezifischen betroffenen Person zugeordnet werden können.</w:t>
      </w:r>
    </w:p>
    <w:p w14:paraId="7AE88828" w14:textId="45999740" w:rsidR="001D0CB2" w:rsidRDefault="00E27FE2">
      <w:r>
        <w:t xml:space="preserve">Zur Klarstellung: Sowohl pseudonyme als auch anonyme Daten sind daher für den Verantwortlichen keiner spezifischen betroffenen Person zuordenbar. Der </w:t>
      </w:r>
      <w:r w:rsidRPr="00F215B1">
        <w:t>Untersch</w:t>
      </w:r>
      <w:r w:rsidR="00F215B1" w:rsidRPr="00F215B1">
        <w:t>ie</w:t>
      </w:r>
      <w:r w:rsidRPr="00F215B1">
        <w:t>d</w:t>
      </w:r>
      <w:r>
        <w:t xml:space="preserve"> zwischen anonymen und pseudonymen Daten liegt darin, dass bei pseudonymen Daten außerhalb der Zugriffsmöglichkeiten des Verantwortlichen grundsätzlich eine Zuordnungsmöglichkeit besteht oder bestehen könnte, bei anonymen Daten hingegen für niemanden eine Zuordnungsmöglichkeit vorhanden ist.</w:t>
      </w:r>
    </w:p>
    <w:p w14:paraId="45BC629D" w14:textId="304C38FC" w:rsidR="001D0CB2" w:rsidRDefault="00E27FE2">
      <w:r>
        <w:lastRenderedPageBreak/>
        <w:t xml:space="preserve">Da es sich sowohl bei der Pseudonymisierung als auch bei der Anonymisierung um eine Verarbeitung gemäß Art. 4 </w:t>
      </w:r>
      <w:r w:rsidRPr="006C6D59">
        <w:t>Ziff</w:t>
      </w:r>
      <w:r>
        <w:t xml:space="preserve">. 2 DS-GVO handelt, ist daher auch für eine Anonymisierung bzw. Pseudonymisierung von Gesundheitsdaten ein Erlaubnistatbestand gem. Art. 9 Abs. 2,4 DS-GVO bzw. Art. 6 </w:t>
      </w:r>
      <w:r w:rsidRPr="00F215B1">
        <w:t>Abs.</w:t>
      </w:r>
      <w:r w:rsidR="00F215B1" w:rsidRPr="00F215B1">
        <w:t> </w:t>
      </w:r>
      <w:r w:rsidRPr="00F215B1">
        <w:t>1</w:t>
      </w:r>
      <w:r>
        <w:t>, 2 DS-GVO für Daten, die nicht zu den besonderen Kategorien zählen,</w:t>
      </w:r>
      <w:r w:rsidR="00271C2A">
        <w:t xml:space="preserve"> </w:t>
      </w:r>
      <w:r>
        <w:t>erforderlich.</w:t>
      </w:r>
    </w:p>
    <w:p w14:paraId="671FF314"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4FBD427F" w14:textId="77777777" w:rsidR="001D0CB2" w:rsidRDefault="00E27FE2">
      <w:pPr>
        <w:pStyle w:val="berschrift1"/>
      </w:pPr>
      <w:bookmarkStart w:id="74" w:name="_Toc517507952"/>
      <w:r>
        <w:lastRenderedPageBreak/>
        <w:t>Rechtliche Rahmenbedingungen</w:t>
      </w:r>
      <w:bookmarkEnd w:id="74"/>
    </w:p>
    <w:p w14:paraId="2AACE21F" w14:textId="77777777" w:rsidR="001D0CB2" w:rsidRDefault="00E27FE2">
      <w:pPr>
        <w:pStyle w:val="berschrift2"/>
      </w:pPr>
      <w:bookmarkStart w:id="75" w:name="_Toc517507953"/>
      <w:r>
        <w:t>Erlaubnistatbestand Pseudonymisierung/Anonymisierung</w:t>
      </w:r>
      <w:bookmarkEnd w:id="75"/>
    </w:p>
    <w:p w14:paraId="456B8CE3" w14:textId="582D41E9" w:rsidR="001D0CB2" w:rsidRDefault="00E27FE2">
      <w:r>
        <w:t xml:space="preserve">Wie </w:t>
      </w:r>
      <w:r w:rsidR="00B32225">
        <w:t xml:space="preserve">bereits </w:t>
      </w:r>
      <w:r>
        <w:t xml:space="preserve">dargestellt stellen sowohl Anonymisierung als auch Pseudonymisierung Verarbeitungen im Sinne von Art. 4 </w:t>
      </w:r>
      <w:r w:rsidRPr="006C6D59">
        <w:t>Ziff</w:t>
      </w:r>
      <w:r>
        <w:t>. 2 DS-GVO dar. Nach Art. 6 sowie Art. 9 DS-GVO ist die Verarbeitung personenbezogener Daten verboten, außer es existiert ein Erlaubnistatbestand.</w:t>
      </w:r>
    </w:p>
    <w:p w14:paraId="4A08C132" w14:textId="77777777" w:rsidR="001D0CB2" w:rsidRDefault="00E27FE2">
      <w:pPr>
        <w:pStyle w:val="berschrift3"/>
      </w:pPr>
      <w:bookmarkStart w:id="76" w:name="_Toc517507954"/>
      <w:r>
        <w:t>Einwilligung</w:t>
      </w:r>
      <w:bookmarkEnd w:id="76"/>
    </w:p>
    <w:p w14:paraId="4CE8881C" w14:textId="5B4667ED" w:rsidR="001D0CB2" w:rsidRDefault="00E27FE2">
      <w:r>
        <w:t>Existiert kein gesetzlicher Erlaubnistatbestand, so ist zur Pseudonymisierung oder Anonymisierung die Einholung einer rechtsgültigen Einwilligung der betroffenen Person bzw. Personen erforderlich. Hierbei sind alle die von der DS-GVO genannten Vorgaben / Rahmenbedingungen einzuhalten.</w:t>
      </w:r>
      <w:r>
        <w:rPr>
          <w:rStyle w:val="Funotenzeichen"/>
        </w:rPr>
        <w:footnoteReference w:id="4"/>
      </w:r>
    </w:p>
    <w:p w14:paraId="0FBA780F" w14:textId="77777777" w:rsidR="001D0CB2" w:rsidRDefault="00E27FE2">
      <w:pPr>
        <w:pStyle w:val="berschrift3"/>
      </w:pPr>
      <w:bookmarkStart w:id="77" w:name="_Toc517507955"/>
      <w:r>
        <w:t>Sonderfall Forschung</w:t>
      </w:r>
      <w:bookmarkEnd w:id="77"/>
    </w:p>
    <w:p w14:paraId="7F9CA1C6" w14:textId="77777777" w:rsidR="001D0CB2" w:rsidRDefault="00E27FE2">
      <w:r>
        <w:t>Die DS-GVO privilegiert Verarbeitungen personenbezogener Daten zum Zwecke der Forschung an unterschiedlichen Stellen. Insbesondere enthält die DS-GVO privilegierende Bestimmungen für wissenschaftliche und historische Forschungszwecke</w:t>
      </w:r>
      <w:r>
        <w:rPr>
          <w:rStyle w:val="Funotenzeichen"/>
        </w:rPr>
        <w:footnoteReference w:id="5"/>
      </w:r>
      <w:r>
        <w:t>. Hinsichtlich der Nutzung besonderer Kategorien personenbezogener Daten findet sich in Art. 9 Abs. 2 lit. j DS-GVO ein datenschutzrechtlicher Erlaubnistatbestand zur Nutzung von Daten zu Zwecken der wissenschaftlichen Forschung. Hiernach ist eine Verarbeitung gestattet, wenn die Verarbeitung gemäß Art. 89 Abs. 1 DS-GVO erforderlich ist und ein nationales oder europäisches Recht für die Nutzung existiert, welches den besonderen Anforderungen von Art. 89 Abs. 1 DS-GVO genügt.</w:t>
      </w:r>
    </w:p>
    <w:p w14:paraId="36F73053" w14:textId="77777777" w:rsidR="001D0CB2" w:rsidRDefault="00E27FE2">
      <w:pPr>
        <w:pStyle w:val="berschrift4"/>
      </w:pPr>
      <w:r>
        <w:t xml:space="preserve">Forschung ohne Einwilligung nach § 27 </w:t>
      </w:r>
      <w:r w:rsidRPr="006C6D59">
        <w:t>BDSG</w:t>
      </w:r>
      <w:r>
        <w:t xml:space="preserve"> </w:t>
      </w:r>
      <w:r w:rsidRPr="00F215B1">
        <w:t>n.F</w:t>
      </w:r>
      <w:r>
        <w:t>.</w:t>
      </w:r>
    </w:p>
    <w:p w14:paraId="4405C2AF" w14:textId="5BE1A377" w:rsidR="001D0CB2" w:rsidRDefault="00E27FE2">
      <w:pPr>
        <w:spacing w:after="0"/>
      </w:pPr>
      <w:r>
        <w:t xml:space="preserve">In Deutschland erfolgte eine nationale Konkretisierung dieser Öffnungsklausel in § 27 </w:t>
      </w:r>
      <w:r w:rsidRPr="006C6D59">
        <w:t>BDSG</w:t>
      </w:r>
      <w:r>
        <w:t xml:space="preserve"> </w:t>
      </w:r>
      <w:r w:rsidRPr="00F215B1">
        <w:t>n.F</w:t>
      </w:r>
      <w:r>
        <w:t xml:space="preserve">. </w:t>
      </w:r>
      <w:r w:rsidR="00B32225">
        <w:t xml:space="preserve">Die Regelung in </w:t>
      </w:r>
      <w:r>
        <w:t xml:space="preserve">§ 27 </w:t>
      </w:r>
      <w:r w:rsidRPr="006C6D59">
        <w:t>BDSG</w:t>
      </w:r>
      <w:r>
        <w:t xml:space="preserve"> </w:t>
      </w:r>
      <w:r w:rsidRPr="006C6D59">
        <w:t>n.F.</w:t>
      </w:r>
      <w:r>
        <w:t xml:space="preserve"> gestattet die Verarbeitung besonderer Kategorien von Daten im Sinne des Art. 9 Abs. 1 DS-GVO zu Forschungszwecken auch ohne Einwilligung, </w:t>
      </w:r>
      <w:r w:rsidRPr="00F215B1">
        <w:t>wenn</w:t>
      </w:r>
    </w:p>
    <w:p w14:paraId="2C0A87F2" w14:textId="77777777" w:rsidR="001D0CB2" w:rsidRDefault="00E27FE2">
      <w:pPr>
        <w:pStyle w:val="Listenabsatz"/>
        <w:numPr>
          <w:ilvl w:val="0"/>
          <w:numId w:val="19"/>
        </w:numPr>
      </w:pPr>
      <w:r w:rsidRPr="00F215B1">
        <w:t>die</w:t>
      </w:r>
      <w:r>
        <w:t xml:space="preserve"> Verarbeitung zu diesen Zwecken erforderlich ist </w:t>
      </w:r>
      <w:r w:rsidRPr="00F215B1">
        <w:t>und</w:t>
      </w:r>
    </w:p>
    <w:p w14:paraId="2B0E169F" w14:textId="77777777" w:rsidR="001D0CB2" w:rsidRDefault="00E27FE2">
      <w:pPr>
        <w:pStyle w:val="Listenabsatz"/>
        <w:numPr>
          <w:ilvl w:val="0"/>
          <w:numId w:val="19"/>
        </w:numPr>
      </w:pPr>
      <w:r w:rsidRPr="00F215B1">
        <w:t>die</w:t>
      </w:r>
      <w:r>
        <w:t xml:space="preserve"> Interessen der Verantwortlichen an der Verarbeitung die Interessen der betroffenen Person an der Nicht-Verarbeitung ihrer Daten erheblich überwiegen.</w:t>
      </w:r>
    </w:p>
    <w:p w14:paraId="5686A515" w14:textId="75EECBCF" w:rsidR="001D0CB2" w:rsidRDefault="00E27FE2">
      <w:r>
        <w:t xml:space="preserve">§ 27 Abs. 1 </w:t>
      </w:r>
      <w:r w:rsidRPr="006C6D59">
        <w:t>BDSG</w:t>
      </w:r>
      <w:r>
        <w:t xml:space="preserve"> </w:t>
      </w:r>
      <w:r w:rsidRPr="006C6D59">
        <w:t>n.F.</w:t>
      </w:r>
      <w:r>
        <w:t xml:space="preserve"> stellt somit einen Erlaubnistatbestand zur Verarbeitung von Gesundheitsdaten zu Forschungszwecken dar, wobei allerdings zu beachten ist, dass spezifischeres Bundes- oder Landesrecht vorrangig gelten kann (§ 1 Abs. 1 Nr. 2 </w:t>
      </w:r>
      <w:r w:rsidRPr="006C6D59">
        <w:t>BDSG</w:t>
      </w:r>
      <w:r>
        <w:t xml:space="preserve"> </w:t>
      </w:r>
      <w:r w:rsidRPr="006C6D59">
        <w:t>n.F.</w:t>
      </w:r>
      <w:r>
        <w:t>)</w:t>
      </w:r>
      <w:r>
        <w:rPr>
          <w:rStyle w:val="Funotenzeichen"/>
        </w:rPr>
        <w:footnoteReference w:id="6"/>
      </w:r>
      <w:r>
        <w:t xml:space="preserve">. Weiterhin gilt § 27 Abs. 1 </w:t>
      </w:r>
      <w:r w:rsidRPr="006C6D59">
        <w:t>BDSG</w:t>
      </w:r>
      <w:r>
        <w:t xml:space="preserve"> </w:t>
      </w:r>
      <w:r w:rsidRPr="006C6D59">
        <w:t>n.F.</w:t>
      </w:r>
      <w:r>
        <w:t xml:space="preserve"> nur für die Verarbeitung von Daten </w:t>
      </w:r>
      <w:r w:rsidRPr="00F215B1">
        <w:t>i.S.v</w:t>
      </w:r>
      <w:r>
        <w:t xml:space="preserve">. Art. 9 Abs. 1 DS-GVO; für Daten, die nicht unter Art. 9 Abs. 1 DS-GVO fallen, müssen andere Erlaubnistatbestände gefunden werden wie </w:t>
      </w:r>
      <w:r w:rsidR="00F215B1" w:rsidRPr="00F215B1">
        <w:t>z. B.</w:t>
      </w:r>
      <w:r>
        <w:t xml:space="preserve"> die in Art. 6 DS-GVO zu Findenden.</w:t>
      </w:r>
    </w:p>
    <w:p w14:paraId="0677EFDF" w14:textId="45A15244" w:rsidR="001D0CB2" w:rsidRDefault="00E27FE2">
      <w:r>
        <w:lastRenderedPageBreak/>
        <w:t xml:space="preserve">Die von § 27 Abs. 1 DS-GVO geforderte Interessenabwägung stellt hohe Anforderungen: die Interessen des oder der Verantwortlichen müssen nicht nur überwiegen, sondern sie müssen </w:t>
      </w:r>
      <w:r>
        <w:rPr>
          <w:i/>
        </w:rPr>
        <w:t>erheblich</w:t>
      </w:r>
      <w:r>
        <w:t xml:space="preserve"> überwiegen</w:t>
      </w:r>
      <w:r w:rsidR="00B32225">
        <w:t xml:space="preserve">. Dies </w:t>
      </w:r>
      <w:r>
        <w:t xml:space="preserve">entspricht damit den Anforderungen aus § 28 Abs. 6 Nr. 4 </w:t>
      </w:r>
      <w:r w:rsidRPr="006C6D59">
        <w:t>BDSG</w:t>
      </w:r>
      <w:r>
        <w:t xml:space="preserve"> </w:t>
      </w:r>
      <w:r w:rsidRPr="00F215B1">
        <w:t>a.F.</w:t>
      </w:r>
      <w:r>
        <w:t>, weshalb diese Anforderungen Forschenden in Deutschland wohl bekannt sein dürften. Dementsprechend kann ein erhebliches Überwiegen des Interesses an der Forschung angenommen werden, wenn ein Forschungsvorhaben „erhebliche Verbesserungen für die Gesundheit oder soziale Sicherheit der Bevölkerung mit sich bringt“</w:t>
      </w:r>
      <w:r>
        <w:rPr>
          <w:rStyle w:val="Funotenzeichen"/>
        </w:rPr>
        <w:footnoteReference w:id="7"/>
      </w:r>
      <w:r>
        <w:t>.</w:t>
      </w:r>
    </w:p>
    <w:p w14:paraId="3ABE6875" w14:textId="77777777" w:rsidR="00271C2A" w:rsidRDefault="00E27FE2">
      <w:r>
        <w:t xml:space="preserve">Gemäß § 27 Abs. 3 </w:t>
      </w:r>
      <w:r w:rsidRPr="006C6D59">
        <w:t>BDSG</w:t>
      </w:r>
      <w:r>
        <w:t xml:space="preserve"> </w:t>
      </w:r>
      <w:r w:rsidRPr="006C6D59">
        <w:t>n.F.</w:t>
      </w:r>
      <w:r>
        <w:t xml:space="preserve"> sind besondere Kategorien personenbezogener Daten im Sinne des Art. 9 Abs. 1 DS-GVO zu anonymisieren, sobald dies nach dem Forschungs- oder Statistikzweck möglich ist, es sei denn, </w:t>
      </w:r>
      <w:r>
        <w:rPr>
          <w:u w:val="single"/>
        </w:rPr>
        <w:t>berechtigte Interessen der betroffenen Person</w:t>
      </w:r>
      <w:r>
        <w:t xml:space="preserve"> stehen einer Anonymisierung entgegen. Ist dies der Fall, sind die Merkmale, mit denen Einzelangaben über persönliche oder sachliche Verhältnisse einer bestimmten oder bestimmbaren Person zugeordnet werden können, gesondert zu speichern (§ 27 Abs. 3 S. 2 </w:t>
      </w:r>
      <w:r w:rsidRPr="006C6D59">
        <w:t>BDSG</w:t>
      </w:r>
      <w:r>
        <w:t xml:space="preserve"> </w:t>
      </w:r>
      <w:r w:rsidRPr="006C6D59">
        <w:t>n.F.</w:t>
      </w:r>
      <w:r>
        <w:t xml:space="preserve">). Die Neuregelung des § 27 Abs. 3 </w:t>
      </w:r>
      <w:r w:rsidRPr="006C6D59">
        <w:t>BDSG</w:t>
      </w:r>
      <w:r>
        <w:t xml:space="preserve"> </w:t>
      </w:r>
      <w:r w:rsidRPr="006C6D59">
        <w:t>n.F.</w:t>
      </w:r>
      <w:r>
        <w:t xml:space="preserve"> verlangt somit, Forschung grundsätzlich mit anonymen Daten durchzuführen und in Ausnahmefällen mit pseudonymen Daten.</w:t>
      </w:r>
    </w:p>
    <w:p w14:paraId="45DDA3F8" w14:textId="5D652774" w:rsidR="001D0CB2" w:rsidRDefault="00E27FE2">
      <w:r>
        <w:t>Von einer Unvereinbarkeit einer Anonymisierung mit der Zweckerreichung eines Forschungsvorhabens kann zumindest immer dann ausgegangen werden, wenn eine fortlaufende Zuordnung von neuen Daten zu bereits vorhandenen Daten erforderlich ist</w:t>
      </w:r>
      <w:bookmarkStart w:id="78" w:name="_Ref514569844"/>
      <w:r>
        <w:rPr>
          <w:rStyle w:val="Funotenzeichen"/>
        </w:rPr>
        <w:footnoteReference w:id="8"/>
      </w:r>
      <w:bookmarkEnd w:id="78"/>
      <w:r>
        <w:t xml:space="preserve">. Gleiches gilt, wenn im Rahmen des Forschungsvorhabens die betroffene Person ggf. kontaktiert werden muss, </w:t>
      </w:r>
      <w:r w:rsidR="00F215B1" w:rsidRPr="00F215B1">
        <w:t>z. B.</w:t>
      </w:r>
      <w:r>
        <w:t xml:space="preserve"> weil Forschungsergebnisse ihre Behandlung beeinflussen könnten. Weiterhin schließt die Nutzung von Biomaterialien, deren enthaltene genetische Informationen prinzipiell einen Personenbezug erlauben, eine Anonymisierung </w:t>
      </w:r>
      <w:r w:rsidRPr="00F215B1">
        <w:t>aus</w:t>
      </w:r>
      <w:r w:rsidRPr="00F215B1">
        <w:rPr>
          <w:vertAlign w:val="superscript"/>
        </w:rPr>
        <w:fldChar w:fldCharType="begin"/>
      </w:r>
      <w:r w:rsidRPr="00F215B1">
        <w:rPr>
          <w:vertAlign w:val="superscript"/>
        </w:rPr>
        <w:instrText xml:space="preserve"> NOTEREF _Ref514569844 \h  \* MERGEFORMAT </w:instrText>
      </w:r>
      <w:r w:rsidRPr="00F215B1">
        <w:rPr>
          <w:vertAlign w:val="superscript"/>
        </w:rPr>
      </w:r>
      <w:r w:rsidRPr="00F215B1">
        <w:rPr>
          <w:vertAlign w:val="superscript"/>
        </w:rPr>
        <w:fldChar w:fldCharType="separate"/>
      </w:r>
      <w:r w:rsidR="00072F0D">
        <w:rPr>
          <w:vertAlign w:val="superscript"/>
        </w:rPr>
        <w:t>8</w:t>
      </w:r>
      <w:r w:rsidRPr="00F215B1">
        <w:rPr>
          <w:vertAlign w:val="superscript"/>
        </w:rPr>
        <w:fldChar w:fldCharType="end"/>
      </w:r>
      <w:r>
        <w:t>.</w:t>
      </w:r>
    </w:p>
    <w:p w14:paraId="62E82C52" w14:textId="0A703CC8" w:rsidR="001D0CB2" w:rsidRDefault="00E27FE2">
      <w:r>
        <w:t xml:space="preserve">Eine Re-Identifizierung, die bei </w:t>
      </w:r>
      <w:r w:rsidR="00156DBB">
        <w:t>einer</w:t>
      </w:r>
      <w:r>
        <w:t xml:space="preserve"> Verarbeitung pseudonymer Daten grundsätzlich ja möglich ist, darf entsprechend § 27 Abs. 3 </w:t>
      </w:r>
      <w:r w:rsidRPr="00F215B1">
        <w:t>S.</w:t>
      </w:r>
      <w:r w:rsidR="00F215B1" w:rsidRPr="00F215B1">
        <w:t> </w:t>
      </w:r>
      <w:r w:rsidRPr="00F215B1">
        <w:t>3</w:t>
      </w:r>
      <w:r>
        <w:t xml:space="preserve">. </w:t>
      </w:r>
      <w:r w:rsidRPr="006C6D59">
        <w:t>BDSG</w:t>
      </w:r>
      <w:r>
        <w:t xml:space="preserve"> </w:t>
      </w:r>
      <w:r w:rsidRPr="006C6D59">
        <w:t>n.F.</w:t>
      </w:r>
      <w:r>
        <w:t xml:space="preserve"> nur durchgeführt werden, wenn dies der Forschungs- oder Statistikzweck erfordert</w:t>
      </w:r>
      <w:r>
        <w:rPr>
          <w:rStyle w:val="Funotenzeichen"/>
        </w:rPr>
        <w:footnoteReference w:id="9"/>
      </w:r>
      <w:r>
        <w:t>.</w:t>
      </w:r>
    </w:p>
    <w:p w14:paraId="7FF92DB6" w14:textId="77777777" w:rsidR="001D0CB2" w:rsidRDefault="00E27FE2">
      <w:pPr>
        <w:pStyle w:val="berschrift2"/>
      </w:pPr>
      <w:bookmarkStart w:id="79" w:name="_Toc517507956"/>
      <w:r>
        <w:t>Betroffenenrechte</w:t>
      </w:r>
      <w:bookmarkEnd w:id="79"/>
    </w:p>
    <w:p w14:paraId="155B9CDA" w14:textId="77777777" w:rsidR="001D0CB2" w:rsidRDefault="00E27FE2">
      <w:pPr>
        <w:pStyle w:val="berschrift3"/>
      </w:pPr>
      <w:bookmarkStart w:id="80" w:name="_Toc517507957"/>
      <w:r>
        <w:t>Anonyme Daten und Betroffenenrechte</w:t>
      </w:r>
      <w:bookmarkEnd w:id="80"/>
    </w:p>
    <w:p w14:paraId="769D02E0" w14:textId="22ECD1DC" w:rsidR="001D0CB2" w:rsidRDefault="00E27FE2">
      <w:r>
        <w:t xml:space="preserve">Entsprechend </w:t>
      </w:r>
      <w:r w:rsidRPr="006C6D59">
        <w:t>ErwGr</w:t>
      </w:r>
      <w:r>
        <w:t xml:space="preserve">. 26 gelten für anonyme Daten die Anforderungen der DS-GVO nicht. Damit gelten auch nicht die aus den </w:t>
      </w:r>
      <w:r w:rsidRPr="006C6D59">
        <w:t>Artt</w:t>
      </w:r>
      <w:r>
        <w:t>. 12 bis 22 DS-GVO resultierenden Anforderungen hinsichtlich der Erfüllung der Betroffenenrechte. Dies bezieht sich jedoch nicht auf die Zeit vor der A</w:t>
      </w:r>
      <w:r w:rsidR="00BD2891">
        <w:t>n</w:t>
      </w:r>
      <w:r>
        <w:t>onymisierung. Denn dann sind die jeweiligen Betroffenenrechte sehr wohl vollumfänglich zu beachten</w:t>
      </w:r>
      <w:r w:rsidR="00156DBB">
        <w:t xml:space="preserve">. Somit ist bei einer Anonymisierung die betroffene Person ggf. </w:t>
      </w:r>
      <w:r w:rsidR="00F215B1" w:rsidRPr="00F215B1">
        <w:t>u. a.</w:t>
      </w:r>
      <w:r w:rsidR="00156DBB">
        <w:t xml:space="preserve"> hinsichtlich des Vorgehens einer Anonymisierung und – sofern vorhanden – der Zweckänderung bei der Verarbeitung der Daten zu informieren</w:t>
      </w:r>
      <w:r>
        <w:t>.</w:t>
      </w:r>
    </w:p>
    <w:p w14:paraId="0084479C" w14:textId="77777777" w:rsidR="001D0CB2" w:rsidRDefault="00E27FE2">
      <w:pPr>
        <w:pStyle w:val="berschrift3"/>
      </w:pPr>
      <w:bookmarkStart w:id="81" w:name="_Toc517507958"/>
      <w:r>
        <w:lastRenderedPageBreak/>
        <w:t>Pseudonyme Daten und Betroffenenrechte</w:t>
      </w:r>
      <w:bookmarkEnd w:id="81"/>
    </w:p>
    <w:p w14:paraId="6DBBE570" w14:textId="189D59AC" w:rsidR="001D0CB2" w:rsidRDefault="00E27FE2">
      <w:r>
        <w:t>Pseudonyme Daten gelten als personenbezogene Daten, daher gelten auch die Betroffenenrechte voll umfänglich. Pseudonyme Daten weisen die Besonderheit auf, dass der Verantwortliche die betroffene Person nicht identifizieren kann. Das wiederum macht es notwendig, dass jegliche Kommunikation mit der betroffenen Person</w:t>
      </w:r>
      <w:r w:rsidR="00271C2A">
        <w:t xml:space="preserve"> </w:t>
      </w:r>
      <w:r>
        <w:t xml:space="preserve">nur über die Personen laufen </w:t>
      </w:r>
      <w:r w:rsidR="00156DBB">
        <w:t>kann</w:t>
      </w:r>
      <w:r>
        <w:t xml:space="preserve">, welche die Daten </w:t>
      </w:r>
      <w:r w:rsidR="00156DBB">
        <w:t xml:space="preserve">(ursprünglich) </w:t>
      </w:r>
      <w:r>
        <w:t xml:space="preserve">erhoben haben, </w:t>
      </w:r>
      <w:r w:rsidR="00F215B1" w:rsidRPr="00F215B1">
        <w:t>d. h.</w:t>
      </w:r>
      <w:r w:rsidR="00156DBB">
        <w:t xml:space="preserve"> welche </w:t>
      </w:r>
      <w:r>
        <w:t xml:space="preserve">die betroffene Person kennen </w:t>
      </w:r>
      <w:r w:rsidR="00156DBB">
        <w:t xml:space="preserve">und </w:t>
      </w:r>
      <w:r>
        <w:t xml:space="preserve">die </w:t>
      </w:r>
      <w:r w:rsidR="00156DBB">
        <w:t xml:space="preserve">ggf. </w:t>
      </w:r>
      <w:r>
        <w:t xml:space="preserve">mittels </w:t>
      </w:r>
      <w:r w:rsidR="00156DBB">
        <w:t xml:space="preserve">einer </w:t>
      </w:r>
      <w:r>
        <w:t>Zuordnungstabelle eine Re-Identifizierung vornehmen können.</w:t>
      </w:r>
    </w:p>
    <w:p w14:paraId="5C5DFB9D" w14:textId="77777777" w:rsidR="001D0CB2" w:rsidRDefault="00E27FE2">
      <w:pPr>
        <w:pStyle w:val="berschrift3"/>
      </w:pPr>
      <w:bookmarkStart w:id="82" w:name="_Toc517507959"/>
      <w:r>
        <w:t>Information bei Zweckänderung</w:t>
      </w:r>
      <w:bookmarkEnd w:id="82"/>
    </w:p>
    <w:p w14:paraId="1C8A9A11" w14:textId="5598848E" w:rsidR="001D0CB2" w:rsidRDefault="00E27FE2">
      <w:r>
        <w:t xml:space="preserve">Häufig erfolgt eine Anonymisierung/Pseudonymisierung von Daten, um die Daten zu einem anderen Zweck als den ursprünglichen zu verwenden. Gemäß </w:t>
      </w:r>
      <w:r w:rsidRPr="006C6D59">
        <w:t>Artt</w:t>
      </w:r>
      <w:r>
        <w:t xml:space="preserve">. 13 Abs. 4, 14 Abs. 4 DS-GVO muss der Verantwortliche </w:t>
      </w:r>
      <w:r>
        <w:rPr>
          <w:u w:val="single"/>
        </w:rPr>
        <w:t>vorher</w:t>
      </w:r>
      <w:r>
        <w:t xml:space="preserve"> (also insbesondere noch vor der Pseudonymisierung/Anonymisierung) der bzw. den betroffenen Personen Informationen über diesen anderen Zweck und alle anderen maßgeblichen Informationen gemäß Art. 14 Abs. 2 DS-GVO zur Verfügung stellen.</w:t>
      </w:r>
    </w:p>
    <w:p w14:paraId="0C454476" w14:textId="77777777" w:rsidR="001D0CB2" w:rsidRDefault="00E27FE2">
      <w:pPr>
        <w:pStyle w:val="berschrift2"/>
      </w:pPr>
      <w:bookmarkStart w:id="83" w:name="_Toc517507960"/>
      <w:r w:rsidRPr="006C6D59">
        <w:t>Privacy</w:t>
      </w:r>
      <w:r>
        <w:t xml:space="preserve"> </w:t>
      </w:r>
      <w:proofErr w:type="spellStart"/>
      <w:r w:rsidRPr="006C6D59">
        <w:t>by</w:t>
      </w:r>
      <w:proofErr w:type="spellEnd"/>
      <w:r>
        <w:t xml:space="preserve"> Design/Default</w:t>
      </w:r>
      <w:bookmarkEnd w:id="83"/>
    </w:p>
    <w:p w14:paraId="586024E1" w14:textId="77777777" w:rsidR="001D0CB2" w:rsidRDefault="00E27FE2">
      <w:r>
        <w:t xml:space="preserve">Entsprechend Art. 25 DS-GVO muss die Pseudonymisierung bzw. Anonymisierung über den vollständigen Lebenszyklus der Daten, d. h. von der Erhebung bis zur endgültigen Vernichtung, aufrechterhalten werden. Änderungen in der technischen Entwicklung müssen während dieser Zeit betrachtet, bzgl. der Auswirkungen auf die </w:t>
      </w:r>
      <w:r w:rsidRPr="006C6D59">
        <w:t>pseudonymisierten</w:t>
      </w:r>
      <w:r>
        <w:t>/anonymisierten Daten bewertet und ggf. erforderliche Maßnahmen abgeleitet und umgesetzt werden</w:t>
      </w:r>
      <w:r>
        <w:rPr>
          <w:rStyle w:val="Funotenzeichen"/>
        </w:rPr>
        <w:footnoteReference w:id="10"/>
      </w:r>
      <w:r>
        <w:t>.</w:t>
      </w:r>
    </w:p>
    <w:p w14:paraId="37BB8A75" w14:textId="77777777" w:rsidR="00271C2A" w:rsidRDefault="00271C2A">
      <w:pPr>
        <w:jc w:val="left"/>
        <w:rPr>
          <w:rFonts w:asciiTheme="majorHAnsi" w:eastAsiaTheme="majorEastAsia" w:hAnsiTheme="majorHAnsi" w:cstheme="majorBidi"/>
          <w:b/>
          <w:bCs/>
          <w:color w:val="4F81BD" w:themeColor="accent1"/>
          <w:sz w:val="26"/>
          <w:szCs w:val="26"/>
        </w:rPr>
      </w:pPr>
      <w:bookmarkStart w:id="84" w:name="_Toc517507961"/>
      <w:r>
        <w:br w:type="page"/>
      </w:r>
    </w:p>
    <w:p w14:paraId="7B73A68C" w14:textId="7F8F4E4B" w:rsidR="001D0CB2" w:rsidRDefault="00E27FE2">
      <w:pPr>
        <w:pStyle w:val="berschrift2"/>
      </w:pPr>
      <w:r>
        <w:lastRenderedPageBreak/>
        <w:t>Datenschutz-Folgenabschätzung</w:t>
      </w:r>
      <w:bookmarkEnd w:id="84"/>
    </w:p>
    <w:p w14:paraId="1EC94EC2" w14:textId="77777777" w:rsidR="001D0CB2" w:rsidRDefault="00E27FE2">
      <w:pPr>
        <w:spacing w:after="80"/>
      </w:pPr>
      <w:r>
        <w:t>Die Aufsichtsbehörden der jeweiligen Bundesländer veröffentlichten Listen mit Kriterien, wann eine Datenschutzfolgenabschätzung erforderlich ist</w:t>
      </w:r>
      <w:r>
        <w:rPr>
          <w:rStyle w:val="Funotenzeichen"/>
        </w:rPr>
        <w:footnoteReference w:id="11"/>
      </w:r>
      <w:r>
        <w:t>. Demnach erfordert in einigen Bundesländern die Anonymisierung von Daten nach Art. 9 DS-GVO eine Datenschutz-Folgenabschätzung entsprechend Art. 35 DS-GVO</w:t>
      </w:r>
      <w:r>
        <w:rPr>
          <w:rStyle w:val="Funotenzeichen"/>
        </w:rPr>
        <w:footnoteReference w:id="12"/>
      </w:r>
      <w:r>
        <w:t>:</w:t>
      </w:r>
    </w:p>
    <w:tbl>
      <w:tblPr>
        <w:tblStyle w:val="Tabellenraster"/>
        <w:tblW w:w="0" w:type="auto"/>
        <w:tblLook w:val="04A0" w:firstRow="1" w:lastRow="0" w:firstColumn="1" w:lastColumn="0" w:noHBand="0" w:noVBand="1"/>
      </w:tblPr>
      <w:tblGrid>
        <w:gridCol w:w="5778"/>
        <w:gridCol w:w="3434"/>
      </w:tblGrid>
      <w:tr w:rsidR="001D0CB2" w14:paraId="124E6237" w14:textId="77777777" w:rsidTr="00072F0D">
        <w:trPr>
          <w:tblHeader/>
        </w:trPr>
        <w:tc>
          <w:tcPr>
            <w:tcW w:w="5778" w:type="dxa"/>
          </w:tcPr>
          <w:p w14:paraId="2BDF32BB" w14:textId="77777777" w:rsidR="001D0CB2" w:rsidRDefault="00E27FE2">
            <w:pPr>
              <w:jc w:val="center"/>
              <w:rPr>
                <w:b/>
              </w:rPr>
            </w:pPr>
            <w:r>
              <w:rPr>
                <w:b/>
              </w:rPr>
              <w:t>Kriterium</w:t>
            </w:r>
          </w:p>
        </w:tc>
        <w:tc>
          <w:tcPr>
            <w:tcW w:w="3434" w:type="dxa"/>
          </w:tcPr>
          <w:p w14:paraId="2CAA0A00" w14:textId="77777777" w:rsidR="001D0CB2" w:rsidRDefault="00E27FE2">
            <w:pPr>
              <w:jc w:val="center"/>
              <w:rPr>
                <w:b/>
              </w:rPr>
            </w:pPr>
            <w:r>
              <w:rPr>
                <w:b/>
              </w:rPr>
              <w:t>Bundesland</w:t>
            </w:r>
          </w:p>
        </w:tc>
      </w:tr>
      <w:tr w:rsidR="001D0CB2" w14:paraId="31E6136F" w14:textId="77777777" w:rsidTr="00072F0D">
        <w:tc>
          <w:tcPr>
            <w:tcW w:w="5778" w:type="dxa"/>
          </w:tcPr>
          <w:p w14:paraId="641AA501" w14:textId="77777777" w:rsidR="001D0CB2" w:rsidRDefault="00E27FE2">
            <w:pPr>
              <w:jc w:val="left"/>
            </w:pPr>
            <w:r>
              <w:t xml:space="preserve">Anonymisierung von besonderen personenbezogenen Daten nach Artikel 9 DS-GVO, falls diese (ggf. vermeintlich) anonymen Daten an Dritte weitergegeben oder zu nicht nur internen statistischen Zwecken verarbeitet werden </w:t>
            </w:r>
            <w:r w:rsidRPr="00F215B1">
              <w:t>sollen</w:t>
            </w:r>
          </w:p>
        </w:tc>
        <w:tc>
          <w:tcPr>
            <w:tcW w:w="3434" w:type="dxa"/>
          </w:tcPr>
          <w:p w14:paraId="6D390D13" w14:textId="77777777" w:rsidR="001D0CB2" w:rsidRDefault="00E27FE2">
            <w:pPr>
              <w:pStyle w:val="Listenabsatz"/>
              <w:numPr>
                <w:ilvl w:val="0"/>
                <w:numId w:val="32"/>
              </w:numPr>
              <w:jc w:val="left"/>
            </w:pPr>
            <w:r>
              <w:t>Brandenburg</w:t>
            </w:r>
          </w:p>
          <w:p w14:paraId="40B77974" w14:textId="77777777" w:rsidR="001D0CB2" w:rsidRDefault="00E27FE2">
            <w:pPr>
              <w:pStyle w:val="Listenabsatz"/>
              <w:numPr>
                <w:ilvl w:val="0"/>
                <w:numId w:val="32"/>
              </w:numPr>
              <w:jc w:val="left"/>
            </w:pPr>
            <w:r>
              <w:t>Bremen</w:t>
            </w:r>
          </w:p>
          <w:p w14:paraId="59BB322D" w14:textId="77777777" w:rsidR="001D0CB2" w:rsidRDefault="00E27FE2">
            <w:pPr>
              <w:pStyle w:val="Listenabsatz"/>
              <w:numPr>
                <w:ilvl w:val="0"/>
                <w:numId w:val="32"/>
              </w:numPr>
              <w:jc w:val="left"/>
            </w:pPr>
            <w:r>
              <w:t>Mecklenburg-Vorpommern</w:t>
            </w:r>
          </w:p>
          <w:p w14:paraId="7D80DCC8" w14:textId="77777777" w:rsidR="001D0CB2" w:rsidRDefault="00E27FE2">
            <w:pPr>
              <w:pStyle w:val="Listenabsatz"/>
              <w:numPr>
                <w:ilvl w:val="0"/>
                <w:numId w:val="32"/>
              </w:numPr>
              <w:jc w:val="left"/>
            </w:pPr>
            <w:r>
              <w:t>Saarland</w:t>
            </w:r>
          </w:p>
          <w:p w14:paraId="53A2EF33" w14:textId="77777777" w:rsidR="001D0CB2" w:rsidRDefault="00E27FE2">
            <w:pPr>
              <w:pStyle w:val="Listenabsatz"/>
              <w:numPr>
                <w:ilvl w:val="0"/>
                <w:numId w:val="32"/>
              </w:numPr>
              <w:jc w:val="left"/>
            </w:pPr>
            <w:r>
              <w:t>Sachsen</w:t>
            </w:r>
          </w:p>
          <w:p w14:paraId="2CBF4BD3" w14:textId="77777777" w:rsidR="001D0CB2" w:rsidRDefault="00E27FE2">
            <w:pPr>
              <w:pStyle w:val="Listenabsatz"/>
              <w:numPr>
                <w:ilvl w:val="0"/>
                <w:numId w:val="32"/>
              </w:numPr>
              <w:jc w:val="left"/>
            </w:pPr>
            <w:r>
              <w:t>Sachsen-Anhalt</w:t>
            </w:r>
          </w:p>
          <w:p w14:paraId="41CC9E64" w14:textId="77777777" w:rsidR="001D0CB2" w:rsidRDefault="00E27FE2">
            <w:pPr>
              <w:pStyle w:val="Listenabsatz"/>
              <w:numPr>
                <w:ilvl w:val="0"/>
                <w:numId w:val="32"/>
              </w:numPr>
              <w:jc w:val="left"/>
            </w:pPr>
            <w:r>
              <w:t>Schleswig-Holstein</w:t>
            </w:r>
          </w:p>
          <w:p w14:paraId="61E539C5" w14:textId="77777777" w:rsidR="001D0CB2" w:rsidRDefault="00E27FE2">
            <w:pPr>
              <w:pStyle w:val="Listenabsatz"/>
              <w:numPr>
                <w:ilvl w:val="0"/>
                <w:numId w:val="32"/>
              </w:numPr>
              <w:jc w:val="left"/>
            </w:pPr>
            <w:r>
              <w:t>Thüringen</w:t>
            </w:r>
          </w:p>
        </w:tc>
      </w:tr>
      <w:tr w:rsidR="001D0CB2" w14:paraId="1674CF00" w14:textId="77777777" w:rsidTr="00072F0D">
        <w:tc>
          <w:tcPr>
            <w:tcW w:w="5778" w:type="dxa"/>
          </w:tcPr>
          <w:p w14:paraId="62844D22" w14:textId="123D8BBD" w:rsidR="001D0CB2" w:rsidRDefault="00E27FE2">
            <w:pPr>
              <w:jc w:val="left"/>
            </w:pPr>
            <w:r>
              <w:t xml:space="preserve">Umfangreiche Anonymisierung von besonderen Kategorien personenbezogener Daten nach Artikel 9 DS-GVO, falls diese (ggf. vermeintlich) anonymen Daten an Dritte weitergegeben oder zu nicht nur internen statistischen Zwecken verarbeitet werden </w:t>
            </w:r>
            <w:r w:rsidRPr="00F215B1">
              <w:t>sollen</w:t>
            </w:r>
          </w:p>
        </w:tc>
        <w:tc>
          <w:tcPr>
            <w:tcW w:w="3434" w:type="dxa"/>
          </w:tcPr>
          <w:p w14:paraId="088FF9F5" w14:textId="77777777" w:rsidR="001D0CB2" w:rsidRDefault="00E27FE2">
            <w:pPr>
              <w:pStyle w:val="Listenabsatz"/>
              <w:numPr>
                <w:ilvl w:val="0"/>
                <w:numId w:val="32"/>
              </w:numPr>
              <w:jc w:val="left"/>
            </w:pPr>
            <w:r>
              <w:t>Niedersachsen</w:t>
            </w:r>
          </w:p>
        </w:tc>
      </w:tr>
      <w:tr w:rsidR="001D0CB2" w14:paraId="2BE2A96E" w14:textId="77777777" w:rsidTr="00072F0D">
        <w:tc>
          <w:tcPr>
            <w:tcW w:w="5778" w:type="dxa"/>
          </w:tcPr>
          <w:p w14:paraId="1A35DFCF" w14:textId="77777777" w:rsidR="001D0CB2" w:rsidRDefault="00E27FE2">
            <w:pPr>
              <w:jc w:val="left"/>
            </w:pPr>
            <w:r>
              <w:t>Umfangreiche Verarbeitung personenbezogener Daten im Rahmen der amtlichen Statistik, deren Erhebung, Speicherung und Verarbeitung, insbesondere der Anonymisierungsprozesse sowie deren Anonymisierung und statistische Aufbereitung vor/für die Übermittlung der Informationen an Dritte.</w:t>
            </w:r>
          </w:p>
        </w:tc>
        <w:tc>
          <w:tcPr>
            <w:tcW w:w="3434" w:type="dxa"/>
          </w:tcPr>
          <w:p w14:paraId="1FD7D381" w14:textId="77777777" w:rsidR="001D0CB2" w:rsidRDefault="00E27FE2">
            <w:pPr>
              <w:pStyle w:val="Listenabsatz"/>
              <w:numPr>
                <w:ilvl w:val="0"/>
                <w:numId w:val="32"/>
              </w:numPr>
              <w:jc w:val="left"/>
            </w:pPr>
            <w:r>
              <w:t>Brandenburg</w:t>
            </w:r>
          </w:p>
          <w:p w14:paraId="35D9C465" w14:textId="77777777" w:rsidR="001D0CB2" w:rsidRDefault="00E27FE2">
            <w:pPr>
              <w:pStyle w:val="Listenabsatz"/>
              <w:numPr>
                <w:ilvl w:val="0"/>
                <w:numId w:val="32"/>
              </w:numPr>
              <w:jc w:val="left"/>
            </w:pPr>
            <w:r>
              <w:t>Niedersachsen</w:t>
            </w:r>
          </w:p>
          <w:p w14:paraId="5ABAC47C" w14:textId="77777777" w:rsidR="00072F0D" w:rsidRDefault="00072F0D" w:rsidP="00072F0D">
            <w:pPr>
              <w:pStyle w:val="Listenabsatz"/>
              <w:numPr>
                <w:ilvl w:val="0"/>
                <w:numId w:val="32"/>
              </w:numPr>
              <w:jc w:val="left"/>
            </w:pPr>
            <w:r w:rsidRPr="00072F0D">
              <w:t>Nordrhein-Westfalen</w:t>
            </w:r>
          </w:p>
          <w:p w14:paraId="6465AE75" w14:textId="4A10B851" w:rsidR="001D0CB2" w:rsidRDefault="00E27FE2" w:rsidP="00072F0D">
            <w:pPr>
              <w:pStyle w:val="Listenabsatz"/>
              <w:numPr>
                <w:ilvl w:val="0"/>
                <w:numId w:val="32"/>
              </w:numPr>
              <w:jc w:val="left"/>
            </w:pPr>
            <w:r>
              <w:t>Thüringen</w:t>
            </w:r>
          </w:p>
        </w:tc>
      </w:tr>
    </w:tbl>
    <w:p w14:paraId="20A934AB" w14:textId="77777777" w:rsidR="00271C2A" w:rsidRDefault="00271C2A" w:rsidP="00271C2A">
      <w:bookmarkStart w:id="85" w:name="_Toc517507962"/>
    </w:p>
    <w:p w14:paraId="09964118" w14:textId="77777777" w:rsidR="00271C2A" w:rsidRDefault="00271C2A">
      <w:pPr>
        <w:jc w:val="left"/>
        <w:rPr>
          <w:rFonts w:asciiTheme="majorHAnsi" w:eastAsiaTheme="majorEastAsia" w:hAnsiTheme="majorHAnsi" w:cstheme="majorBidi"/>
          <w:b/>
          <w:bCs/>
          <w:color w:val="365F91" w:themeColor="accent1" w:themeShade="BF"/>
          <w:sz w:val="28"/>
          <w:szCs w:val="28"/>
        </w:rPr>
      </w:pPr>
      <w:r>
        <w:br w:type="page"/>
      </w:r>
    </w:p>
    <w:p w14:paraId="318A9C28" w14:textId="165658B8" w:rsidR="001D0CB2" w:rsidRDefault="00E27FE2">
      <w:pPr>
        <w:pStyle w:val="berschrift1"/>
      </w:pPr>
      <w:r>
        <w:lastRenderedPageBreak/>
        <w:t xml:space="preserve">Sonderfall: </w:t>
      </w:r>
      <w:r w:rsidRPr="00F215B1">
        <w:t>Genetische</w:t>
      </w:r>
      <w:r>
        <w:t xml:space="preserve"> Daten / Biomaterial</w:t>
      </w:r>
      <w:bookmarkEnd w:id="85"/>
    </w:p>
    <w:p w14:paraId="2D95710A" w14:textId="77777777" w:rsidR="001D0CB2" w:rsidRDefault="00E27FE2">
      <w:pPr>
        <w:spacing w:after="0"/>
      </w:pPr>
      <w:r>
        <w:t>Schon 2005 wurde auf der 27. Internationalen Konferenz der Beauftragten für Datenschutz und den Schutz der Privatsphäre in Montreux in Bezug auf genetische Daten Folgendes festgehalten</w:t>
      </w:r>
      <w:r>
        <w:rPr>
          <w:rStyle w:val="Funotenzeichen"/>
        </w:rPr>
        <w:footnoteReference w:id="13"/>
      </w:r>
      <w:r>
        <w:t>:</w:t>
      </w:r>
    </w:p>
    <w:p w14:paraId="591E638C" w14:textId="77777777" w:rsidR="001D0CB2" w:rsidRDefault="00E27FE2">
      <w:pPr>
        <w:spacing w:after="0"/>
        <w:ind w:left="708"/>
      </w:pPr>
      <w:r>
        <w:t>„Die Datenschutzbeauftragten</w:t>
      </w:r>
    </w:p>
    <w:p w14:paraId="7DDDE6AB" w14:textId="77777777" w:rsidR="001D0CB2" w:rsidRDefault="00E27FE2">
      <w:pPr>
        <w:spacing w:after="0"/>
        <w:ind w:left="1134" w:hanging="285"/>
      </w:pPr>
      <w:r>
        <w:t>1.</w:t>
      </w:r>
      <w:r>
        <w:tab/>
        <w:t>[…]</w:t>
      </w:r>
    </w:p>
    <w:p w14:paraId="44E73524" w14:textId="77777777" w:rsidR="001D0CB2" w:rsidRDefault="00E27FE2">
      <w:pPr>
        <w:spacing w:after="0"/>
        <w:ind w:left="1134" w:hanging="285"/>
      </w:pPr>
      <w:r>
        <w:t>7.</w:t>
      </w:r>
      <w:r>
        <w:tab/>
        <w:t>Sind sich bewusst, dass aufgrund des rasch wachsenden Kenntnisstandes im Bereich der Genetik Daten über die menschliche DNA zu den sensibelsten überhaupt werden können, und dass die Gewährleistung eines angemessenen rechtlichen Schutzes dieser Daten angesichts der beschleunigten Wissensentwicklung wachsende Bedeutung erlangt,</w:t>
      </w:r>
    </w:p>
    <w:p w14:paraId="74EE8C34" w14:textId="77777777" w:rsidR="001D0CB2" w:rsidRDefault="00E27FE2">
      <w:pPr>
        <w:spacing w:after="0"/>
        <w:ind w:left="1135" w:hanging="284"/>
      </w:pPr>
      <w:r>
        <w:t>8.</w:t>
      </w:r>
      <w:r>
        <w:tab/>
        <w:t>[…]“</w:t>
      </w:r>
    </w:p>
    <w:p w14:paraId="7E8596D4" w14:textId="5965F89A" w:rsidR="001D0CB2" w:rsidRDefault="00E27FE2">
      <w:r>
        <w:t>Aktuellere Untersuchungen haben ergeben, dass genetische Daten nicht als anonym angesehen werden können</w:t>
      </w:r>
      <w:r>
        <w:rPr>
          <w:rStyle w:val="Funotenzeichen"/>
        </w:rPr>
        <w:footnoteReference w:id="14"/>
      </w:r>
      <w:r>
        <w:t xml:space="preserve">. Genetische Daten können daher maximal </w:t>
      </w:r>
      <w:r w:rsidRPr="006C6D59">
        <w:t>pseudonymisiert</w:t>
      </w:r>
      <w:r>
        <w:t xml:space="preserve"> werden bzw. als pseudonym angesehen werden.</w:t>
      </w:r>
    </w:p>
    <w:p w14:paraId="65F8519A" w14:textId="77777777" w:rsidR="001D0CB2" w:rsidRDefault="00E27FE2">
      <w:pPr>
        <w:pStyle w:val="berschrift2"/>
      </w:pPr>
      <w:bookmarkStart w:id="86" w:name="_Toc517507963"/>
      <w:r>
        <w:t>Biomaterial und Einwilligung</w:t>
      </w:r>
      <w:bookmarkEnd w:id="86"/>
    </w:p>
    <w:p w14:paraId="025F7444" w14:textId="0813FDA3" w:rsidR="001D0CB2" w:rsidRDefault="00E27FE2">
      <w:r>
        <w:t>Biomaterial enthält durch seinen genetischen Inhalt</w:t>
      </w:r>
      <w:r w:rsidR="00271C2A">
        <w:t xml:space="preserve"> </w:t>
      </w:r>
      <w:r>
        <w:t>prinzipiell auch Daten</w:t>
      </w:r>
      <w:r w:rsidR="00A225E1">
        <w:t>, durch die Rückschlüsse auf</w:t>
      </w:r>
      <w:r>
        <w:t xml:space="preserve"> etwaige</w:t>
      </w:r>
      <w:r w:rsidR="00A225E1">
        <w:t xml:space="preserve"> dem Betroffenen </w:t>
      </w:r>
      <w:r>
        <w:t>verwandte Personen wie beispielsweise Kinder, Eltern und</w:t>
      </w:r>
      <w:r w:rsidR="00156DBB">
        <w:t>/oder</w:t>
      </w:r>
      <w:r>
        <w:t xml:space="preserve"> Enkel</w:t>
      </w:r>
      <w:r w:rsidR="00A225E1">
        <w:t xml:space="preserve"> möglich sind</w:t>
      </w:r>
      <w:r>
        <w:t>. Unter den Vorgaben der DS-GVO können diese Daten mittels Einwilligung kaum verarbeitet werden, da eine Einwilligung immer nur für die eigenen Daten, nicht aber für die Daten Dritter gegeben werden kann.</w:t>
      </w:r>
    </w:p>
    <w:p w14:paraId="4492AE96" w14:textId="768B4D9B" w:rsidR="00FD7008" w:rsidRDefault="00FD7008" w:rsidP="00FD7008">
      <w:r>
        <w:t xml:space="preserve">Daraus folgt, dass wenn eine Person heute beispielsweise Biomaterial abgibt, so kann ein heute noch nicht geborenes Enkelkind dieser Person aufgrund der Kenntnis dieses gespendeten Biomaterials in der Zukunft durch eine Erkrankung diskriminiert werden, die heute noch gar nicht bekannt ist, die aber dem Erbgut innewohnt. Auch diesen Personen muss ein „Recht auf Nichtwissen“ zugestanden werden, eine Einwilligung der das Biomaterial abgebenden Person kann dies nicht </w:t>
      </w:r>
      <w:r w:rsidR="00F215B1" w:rsidRPr="00F215B1">
        <w:t>legiti</w:t>
      </w:r>
      <w:r w:rsidRPr="00F215B1">
        <w:t>mieren</w:t>
      </w:r>
      <w:r>
        <w:t>.</w:t>
      </w:r>
    </w:p>
    <w:p w14:paraId="236F374E" w14:textId="77777777" w:rsidR="004C4805" w:rsidRDefault="004C4805">
      <w:pPr>
        <w:jc w:val="left"/>
      </w:pPr>
      <w:r>
        <w:br w:type="page"/>
      </w:r>
    </w:p>
    <w:p w14:paraId="4A409725" w14:textId="4C23F352" w:rsidR="00FD7008" w:rsidRDefault="00FD7008" w:rsidP="00FD7008">
      <w:r>
        <w:lastRenderedPageBreak/>
        <w:t xml:space="preserve">Daher wird für die Verarbeitung derartiger personenbezogener bzw. personenbeziehbarer Daten ein gesetzlicher Erlaubnistatbestand benötigt. Wenn seitens der Gesellschaft ein Konsens besteht, dass die Vorratsdatenspeicherung von Biomaterial mit recht allgemeiner Zweckbindung („medizinische Forschung“) gewünscht ist, muss somit ein Gesetz diese Forschung explizit erlauben, </w:t>
      </w:r>
      <w:r w:rsidRPr="00F215B1">
        <w:t>so dass</w:t>
      </w:r>
      <w:r>
        <w:t xml:space="preserve"> ei</w:t>
      </w:r>
      <w:r w:rsidR="00D2342B">
        <w:t>n</w:t>
      </w:r>
      <w:r>
        <w:t>e Einwilligung nicht benötigt wird. Denn eine Einwilligung alleine des Spenders wird kaum die damit verbundene Verarbeitung der über Dritte (= Verwandte) enthaltenen Informationen legitimieren können.</w:t>
      </w:r>
    </w:p>
    <w:p w14:paraId="70925081" w14:textId="77777777" w:rsidR="00271C2A" w:rsidRDefault="00271C2A" w:rsidP="00FD7008"/>
    <w:p w14:paraId="4652C668" w14:textId="77777777" w:rsidR="00271C2A" w:rsidRDefault="00271C2A">
      <w:pPr>
        <w:jc w:val="left"/>
        <w:rPr>
          <w:rFonts w:asciiTheme="majorHAnsi" w:eastAsiaTheme="majorEastAsia" w:hAnsiTheme="majorHAnsi" w:cstheme="majorBidi"/>
          <w:b/>
          <w:bCs/>
          <w:color w:val="365F91" w:themeColor="accent1" w:themeShade="BF"/>
          <w:sz w:val="28"/>
          <w:szCs w:val="28"/>
        </w:rPr>
      </w:pPr>
      <w:bookmarkStart w:id="87" w:name="_Toc517507964"/>
      <w:r>
        <w:br w:type="page"/>
      </w:r>
    </w:p>
    <w:p w14:paraId="01FCA579" w14:textId="24C57629" w:rsidR="001D0CB2" w:rsidRDefault="00E27FE2" w:rsidP="00FD7008">
      <w:pPr>
        <w:pStyle w:val="berschrift1"/>
      </w:pPr>
      <w:r>
        <w:lastRenderedPageBreak/>
        <w:t xml:space="preserve">Exkurs: </w:t>
      </w:r>
      <w:r w:rsidRPr="006C6D59">
        <w:t>HIPAA</w:t>
      </w:r>
      <w:r>
        <w:t xml:space="preserve"> und </w:t>
      </w:r>
      <w:r w:rsidRPr="006C6D59">
        <w:t>De-</w:t>
      </w:r>
      <w:proofErr w:type="spellStart"/>
      <w:r w:rsidRPr="006C6D59">
        <w:t>Identification</w:t>
      </w:r>
      <w:proofErr w:type="spellEnd"/>
      <w:r>
        <w:t xml:space="preserve"> – der amerikanische Weg</w:t>
      </w:r>
      <w:bookmarkEnd w:id="87"/>
    </w:p>
    <w:p w14:paraId="5464CD8D" w14:textId="3AA65E1C" w:rsidR="001D0CB2" w:rsidRDefault="00E27FE2">
      <w:r>
        <w:t>Der amerikanische „</w:t>
      </w:r>
      <w:proofErr w:type="spellStart"/>
      <w:r w:rsidRPr="006C6D59">
        <w:t>Health</w:t>
      </w:r>
      <w:proofErr w:type="spellEnd"/>
      <w:r>
        <w:t xml:space="preserve"> </w:t>
      </w:r>
      <w:r w:rsidRPr="00F215B1">
        <w:t>Insurance</w:t>
      </w:r>
      <w:r>
        <w:t xml:space="preserve"> </w:t>
      </w:r>
      <w:proofErr w:type="spellStart"/>
      <w:r>
        <w:t>Portability</w:t>
      </w:r>
      <w:proofErr w:type="spellEnd"/>
      <w:r>
        <w:t xml:space="preserve"> </w:t>
      </w:r>
      <w:proofErr w:type="spellStart"/>
      <w:r w:rsidRPr="006C6D59">
        <w:t>and</w:t>
      </w:r>
      <w:proofErr w:type="spellEnd"/>
      <w:r>
        <w:t xml:space="preserve"> </w:t>
      </w:r>
      <w:proofErr w:type="spellStart"/>
      <w:r>
        <w:t>Accountability</w:t>
      </w:r>
      <w:proofErr w:type="spellEnd"/>
      <w:r>
        <w:t xml:space="preserve"> </w:t>
      </w:r>
      <w:proofErr w:type="spellStart"/>
      <w:r>
        <w:t>Act</w:t>
      </w:r>
      <w:proofErr w:type="spellEnd"/>
      <w:r>
        <w:rPr>
          <w:rStyle w:val="Funotenzeichen"/>
        </w:rPr>
        <w:footnoteReference w:id="15"/>
      </w:r>
      <w:r>
        <w:t>“ (</w:t>
      </w:r>
      <w:r w:rsidRPr="006C6D59">
        <w:t>HIPAA</w:t>
      </w:r>
      <w:r>
        <w:t xml:space="preserve">) kennt den Begriff der </w:t>
      </w:r>
      <w:r w:rsidR="00F215B1" w:rsidRPr="00F215B1">
        <w:t>D</w:t>
      </w:r>
      <w:r w:rsidRPr="00F215B1">
        <w:t>e-</w:t>
      </w:r>
      <w:proofErr w:type="spellStart"/>
      <w:r w:rsidRPr="00F215B1">
        <w:t>identification</w:t>
      </w:r>
      <w:proofErr w:type="spellEnd"/>
      <w:r>
        <w:t xml:space="preserve">, also den Prozess, um Personen vor der Identifikation zu schützen. Das Vorgehen hierzu wird in Abschnitt 164.514 von </w:t>
      </w:r>
      <w:r w:rsidRPr="006C6D59">
        <w:t>HIPAA</w:t>
      </w:r>
      <w:r>
        <w:t xml:space="preserve"> beschrieben</w:t>
      </w:r>
      <w:r>
        <w:rPr>
          <w:rStyle w:val="Funotenzeichen"/>
        </w:rPr>
        <w:footnoteReference w:id="16"/>
      </w:r>
      <w:r>
        <w:t xml:space="preserve">. Das </w:t>
      </w:r>
      <w:r w:rsidRPr="00F215B1">
        <w:t>U.</w:t>
      </w:r>
      <w:r w:rsidR="00F215B1" w:rsidRPr="00F215B1">
        <w:t> </w:t>
      </w:r>
      <w:r w:rsidRPr="00F215B1">
        <w:t>S.</w:t>
      </w:r>
      <w:r>
        <w:t xml:space="preserve"> Department </w:t>
      </w:r>
      <w:proofErr w:type="spellStart"/>
      <w:r>
        <w:t>of</w:t>
      </w:r>
      <w:proofErr w:type="spellEnd"/>
      <w:r>
        <w:t xml:space="preserve"> </w:t>
      </w:r>
      <w:proofErr w:type="spellStart"/>
      <w:r w:rsidRPr="006C6D59">
        <w:t>Health</w:t>
      </w:r>
      <w:proofErr w:type="spellEnd"/>
      <w:r>
        <w:t xml:space="preserve"> &amp; </w:t>
      </w:r>
      <w:r w:rsidRPr="00F215B1">
        <w:t>Human</w:t>
      </w:r>
      <w:r>
        <w:t xml:space="preserve"> Services veröffentlichte eine</w:t>
      </w:r>
      <w:r w:rsidR="00A225E1">
        <w:t xml:space="preserve"> diesbezügliche</w:t>
      </w:r>
      <w:r>
        <w:t xml:space="preserve"> Leitlinie wie </w:t>
      </w:r>
      <w:r w:rsidRPr="006C6D59">
        <w:t>De-Identifikation</w:t>
      </w:r>
      <w:r>
        <w:t xml:space="preserve"> in Bezug auf medizinische Daten umgesetzt werden kann</w:t>
      </w:r>
      <w:bookmarkStart w:id="88" w:name="_Ref516904027"/>
      <w:r>
        <w:rPr>
          <w:rStyle w:val="Funotenzeichen"/>
        </w:rPr>
        <w:footnoteReference w:id="17"/>
      </w:r>
      <w:bookmarkEnd w:id="88"/>
      <w:r>
        <w:t>.</w:t>
      </w:r>
    </w:p>
    <w:p w14:paraId="3A2E75B7" w14:textId="3AB2EE9A" w:rsidR="001D0CB2" w:rsidRDefault="00E27FE2" w:rsidP="00FD7008">
      <w:pPr>
        <w:spacing w:after="0"/>
      </w:pPr>
      <w:r w:rsidRPr="00F215B1">
        <w:t>§</w:t>
      </w:r>
      <w:r w:rsidR="00591FB4">
        <w:t> </w:t>
      </w:r>
      <w:r w:rsidRPr="00F215B1">
        <w:t>16.4514</w:t>
      </w:r>
      <w:r>
        <w:t xml:space="preserve">(b) </w:t>
      </w:r>
      <w:r w:rsidRPr="006C6D59">
        <w:t>HIPAA</w:t>
      </w:r>
      <w:r>
        <w:t xml:space="preserve"> enthält eine Spezifizierung bzgl. der Umsetzung der </w:t>
      </w:r>
      <w:r w:rsidRPr="006C6D59">
        <w:t>De-Identifikation</w:t>
      </w:r>
      <w:r>
        <w:t xml:space="preserve"> und kennt zwei Methoden:</w:t>
      </w:r>
    </w:p>
    <w:p w14:paraId="2366AFA5" w14:textId="739BCA75" w:rsidR="001D0CB2" w:rsidRDefault="00E27FE2">
      <w:pPr>
        <w:pStyle w:val="Listenabsatz"/>
        <w:numPr>
          <w:ilvl w:val="0"/>
          <w:numId w:val="25"/>
        </w:numPr>
      </w:pPr>
      <w:r w:rsidRPr="00F215B1">
        <w:t>§</w:t>
      </w:r>
      <w:r w:rsidR="00591FB4">
        <w:t> </w:t>
      </w:r>
      <w:r w:rsidRPr="00F215B1">
        <w:t>16.4514</w:t>
      </w:r>
      <w:r>
        <w:t>(b)(1)</w:t>
      </w:r>
    </w:p>
    <w:p w14:paraId="356D0F54" w14:textId="77777777" w:rsidR="001D0CB2" w:rsidRDefault="00E27FE2">
      <w:pPr>
        <w:pStyle w:val="Listenabsatz"/>
      </w:pPr>
      <w:r>
        <w:t xml:space="preserve">Eine Person mit angemessenem Wissen und Erfahrung bzgl. allgemein anerkannten statistischen und wissenschaftlichen Prinzipien und Methoden hinsichtlich einer </w:t>
      </w:r>
      <w:r w:rsidRPr="006C6D59">
        <w:t>De-Identifikation</w:t>
      </w:r>
    </w:p>
    <w:p w14:paraId="33F1E0CF" w14:textId="79FEAFAC" w:rsidR="001D0CB2" w:rsidRDefault="00D2342B">
      <w:pPr>
        <w:pStyle w:val="Listenabsatz"/>
        <w:numPr>
          <w:ilvl w:val="0"/>
          <w:numId w:val="26"/>
        </w:numPr>
      </w:pPr>
      <w:r w:rsidRPr="00F215B1">
        <w:t>e</w:t>
      </w:r>
      <w:r w:rsidR="00E27FE2" w:rsidRPr="00F215B1">
        <w:t>ntscheidet</w:t>
      </w:r>
      <w:r w:rsidR="00E27FE2">
        <w:t xml:space="preserve">, dass das angewandte Verfahren zur </w:t>
      </w:r>
      <w:r w:rsidR="00E27FE2" w:rsidRPr="006C6D59">
        <w:t>De-Identifikation</w:t>
      </w:r>
      <w:r w:rsidR="00E27FE2">
        <w:t xml:space="preserve"> nur sehr geringe Risiken auch in Kombination mit Informationen, die anderen Stellen (Dritten </w:t>
      </w:r>
      <w:r w:rsidR="00E27FE2" w:rsidRPr="00F215B1">
        <w:t>i.</w:t>
      </w:r>
      <w:r w:rsidR="00F215B1" w:rsidRPr="00F215B1">
        <w:t> </w:t>
      </w:r>
      <w:r w:rsidR="00E27FE2" w:rsidRPr="00F215B1">
        <w:t>S.</w:t>
      </w:r>
      <w:r w:rsidR="00F215B1" w:rsidRPr="00F215B1">
        <w:t> </w:t>
      </w:r>
      <w:r w:rsidR="00E27FE2" w:rsidRPr="00F215B1">
        <w:t>d.</w:t>
      </w:r>
      <w:r w:rsidR="00E27FE2">
        <w:t xml:space="preserve"> DS-GVO) zur Verfügung stehen, </w:t>
      </w:r>
      <w:r w:rsidR="00C620FF">
        <w:t>h</w:t>
      </w:r>
      <w:r w:rsidR="00E27FE2">
        <w:t>insichtlich der Re-Identifizierung der betroffenen Person(</w:t>
      </w:r>
      <w:r w:rsidR="00E27FE2" w:rsidRPr="00F215B1">
        <w:t>en</w:t>
      </w:r>
      <w:r w:rsidR="00E27FE2">
        <w:t xml:space="preserve">) beinhaltet </w:t>
      </w:r>
      <w:r w:rsidR="00E27FE2" w:rsidRPr="00F215B1">
        <w:t>und</w:t>
      </w:r>
    </w:p>
    <w:p w14:paraId="614A3020" w14:textId="2A9C4482" w:rsidR="001D0CB2" w:rsidRDefault="00D2342B">
      <w:pPr>
        <w:pStyle w:val="Listenabsatz"/>
        <w:numPr>
          <w:ilvl w:val="0"/>
          <w:numId w:val="26"/>
        </w:numPr>
      </w:pPr>
      <w:r w:rsidRPr="00F215B1">
        <w:t>d</w:t>
      </w:r>
      <w:r w:rsidR="00E27FE2" w:rsidRPr="00F215B1">
        <w:t>okumentiert</w:t>
      </w:r>
      <w:r w:rsidR="00E27FE2">
        <w:t xml:space="preserve"> die angewandten Methoden und die Analyse bzgl. der Risiken.</w:t>
      </w:r>
    </w:p>
    <w:p w14:paraId="76252E0A" w14:textId="4CA51176" w:rsidR="001D0CB2" w:rsidRPr="006C6D59" w:rsidRDefault="00E27FE2">
      <w:pPr>
        <w:pStyle w:val="Listenabsatz"/>
        <w:numPr>
          <w:ilvl w:val="0"/>
          <w:numId w:val="25"/>
        </w:numPr>
        <w:rPr>
          <w:lang w:val="en-US"/>
        </w:rPr>
      </w:pPr>
      <w:r w:rsidRPr="006C6D59">
        <w:rPr>
          <w:lang w:val="en-US"/>
        </w:rPr>
        <w:t>§</w:t>
      </w:r>
      <w:r w:rsidR="00591FB4">
        <w:rPr>
          <w:lang w:val="en-US"/>
        </w:rPr>
        <w:t> </w:t>
      </w:r>
      <w:r w:rsidRPr="006C6D59">
        <w:rPr>
          <w:lang w:val="en-US"/>
        </w:rPr>
        <w:t>16.4514(b)(2) (</w:t>
      </w:r>
      <w:proofErr w:type="spellStart"/>
      <w:r w:rsidRPr="006C6D59">
        <w:rPr>
          <w:lang w:val="en-US"/>
        </w:rPr>
        <w:t>n</w:t>
      </w:r>
      <w:r w:rsidR="00FD7008">
        <w:rPr>
          <w:lang w:val="en-US"/>
        </w:rPr>
        <w:t>a</w:t>
      </w:r>
      <w:r w:rsidRPr="006C6D59">
        <w:rPr>
          <w:lang w:val="en-US"/>
        </w:rPr>
        <w:t>ch</w:t>
      </w:r>
      <w:proofErr w:type="spellEnd"/>
      <w:r w:rsidRPr="006C6D59">
        <w:rPr>
          <w:lang w:val="en-US"/>
        </w:rPr>
        <w:t xml:space="preserve"> </w:t>
      </w:r>
      <w:proofErr w:type="spellStart"/>
      <w:r w:rsidRPr="006C6D59">
        <w:rPr>
          <w:lang w:val="en-US"/>
        </w:rPr>
        <w:t>Angaben</w:t>
      </w:r>
      <w:proofErr w:type="spellEnd"/>
      <w:r w:rsidRPr="006C6D59">
        <w:rPr>
          <w:lang w:val="en-US"/>
        </w:rPr>
        <w:t xml:space="preserve"> des U.S. Department of Health &amp; Human Services</w:t>
      </w:r>
      <w:r>
        <w:rPr>
          <w:vertAlign w:val="superscript"/>
        </w:rPr>
        <w:fldChar w:fldCharType="begin"/>
      </w:r>
      <w:r w:rsidRPr="006C6D59">
        <w:rPr>
          <w:vertAlign w:val="superscript"/>
          <w:lang w:val="en-US"/>
        </w:rPr>
        <w:instrText xml:space="preserve"> NOTEREF _Ref516904027 \h  \* MERGEFORMAT </w:instrText>
      </w:r>
      <w:r>
        <w:rPr>
          <w:vertAlign w:val="superscript"/>
        </w:rPr>
      </w:r>
      <w:r>
        <w:rPr>
          <w:vertAlign w:val="superscript"/>
        </w:rPr>
        <w:fldChar w:fldCharType="separate"/>
      </w:r>
      <w:r w:rsidR="00072F0D">
        <w:rPr>
          <w:vertAlign w:val="superscript"/>
          <w:lang w:val="en-US"/>
        </w:rPr>
        <w:t>17</w:t>
      </w:r>
      <w:r>
        <w:rPr>
          <w:vertAlign w:val="superscript"/>
        </w:rPr>
        <w:fldChar w:fldCharType="end"/>
      </w:r>
      <w:r w:rsidRPr="006C6D59">
        <w:rPr>
          <w:lang w:val="en-US"/>
        </w:rPr>
        <w:t>)</w:t>
      </w:r>
    </w:p>
    <w:p w14:paraId="0B641D7D" w14:textId="77777777" w:rsidR="001D0CB2" w:rsidRDefault="00E27FE2">
      <w:pPr>
        <w:pStyle w:val="Listenabsatz"/>
      </w:pPr>
      <w:r>
        <w:t>Es müssen nachfolgende Informationen von betroffenen Personen oder von Verwandten, Arbeitgebern, oder Haushaltsmitgliedern entfernt werden:</w:t>
      </w:r>
    </w:p>
    <w:p w14:paraId="1ACBEE99" w14:textId="77777777" w:rsidR="001D0CB2" w:rsidRDefault="00E27FE2">
      <w:pPr>
        <w:pStyle w:val="Listenabsatz"/>
        <w:numPr>
          <w:ilvl w:val="0"/>
          <w:numId w:val="27"/>
        </w:numPr>
      </w:pPr>
      <w:r>
        <w:t>Namen</w:t>
      </w:r>
    </w:p>
    <w:p w14:paraId="1C8D212D" w14:textId="77777777" w:rsidR="001D0CB2" w:rsidRDefault="00E27FE2">
      <w:pPr>
        <w:pStyle w:val="Listenabsatz"/>
        <w:numPr>
          <w:ilvl w:val="0"/>
          <w:numId w:val="27"/>
        </w:numPr>
      </w:pPr>
      <w:r>
        <w:t>Alle ortsbezogenen Angaben kleiner als ein Staat, einschließlich Straßenadresse, Stadt, Bezirks, Bezirks, Postleitzahl, außer den ersten 3 Ziffern der Postleitzahl</w:t>
      </w:r>
    </w:p>
    <w:p w14:paraId="6D3E7AA9" w14:textId="77777777" w:rsidR="001D0CB2" w:rsidRDefault="00E27FE2">
      <w:pPr>
        <w:pStyle w:val="Listenabsatz"/>
        <w:numPr>
          <w:ilvl w:val="0"/>
          <w:numId w:val="27"/>
        </w:numPr>
      </w:pPr>
      <w:r>
        <w:t xml:space="preserve">Alle Datumsangaben, die direkt auf eine Person schließen lassen, außer dem </w:t>
      </w:r>
      <w:r w:rsidRPr="00F215B1">
        <w:t>Jahr</w:t>
      </w:r>
    </w:p>
    <w:p w14:paraId="10F491E5" w14:textId="77777777" w:rsidR="001D0CB2" w:rsidRDefault="00E27FE2">
      <w:pPr>
        <w:pStyle w:val="Listenabsatz"/>
        <w:numPr>
          <w:ilvl w:val="0"/>
          <w:numId w:val="27"/>
        </w:numPr>
      </w:pPr>
      <w:r>
        <w:t>Telefonnummern</w:t>
      </w:r>
    </w:p>
    <w:p w14:paraId="118DB245" w14:textId="77777777" w:rsidR="001D0CB2" w:rsidRDefault="00E27FE2">
      <w:pPr>
        <w:pStyle w:val="Listenabsatz"/>
        <w:numPr>
          <w:ilvl w:val="0"/>
          <w:numId w:val="27"/>
        </w:numPr>
      </w:pPr>
      <w:r>
        <w:t xml:space="preserve">Fahrzeugnummern/Seriennummer, </w:t>
      </w:r>
      <w:r w:rsidRPr="00F215B1">
        <w:t>KFZ-Kennzeichen</w:t>
      </w:r>
    </w:p>
    <w:p w14:paraId="03FCBDC3" w14:textId="77777777" w:rsidR="001D0CB2" w:rsidRDefault="00E27FE2">
      <w:pPr>
        <w:pStyle w:val="Listenabsatz"/>
        <w:numPr>
          <w:ilvl w:val="0"/>
          <w:numId w:val="27"/>
        </w:numPr>
      </w:pPr>
      <w:r>
        <w:t>Faxnummern</w:t>
      </w:r>
    </w:p>
    <w:p w14:paraId="12089A44" w14:textId="77777777" w:rsidR="001D0CB2" w:rsidRDefault="00E27FE2">
      <w:pPr>
        <w:pStyle w:val="Listenabsatz"/>
        <w:numPr>
          <w:ilvl w:val="0"/>
          <w:numId w:val="27"/>
        </w:numPr>
      </w:pPr>
      <w:r w:rsidRPr="00F215B1">
        <w:t>Geräte-</w:t>
      </w:r>
      <w:proofErr w:type="spellStart"/>
      <w:r w:rsidRPr="00F215B1">
        <w:t>Identifizierer</w:t>
      </w:r>
      <w:proofErr w:type="spellEnd"/>
      <w:r>
        <w:t xml:space="preserve"> sowie Seriennummern</w:t>
      </w:r>
    </w:p>
    <w:p w14:paraId="6F12CD8F" w14:textId="77777777" w:rsidR="001D0CB2" w:rsidRDefault="00E27FE2">
      <w:pPr>
        <w:pStyle w:val="Listenabsatz"/>
        <w:numPr>
          <w:ilvl w:val="0"/>
          <w:numId w:val="27"/>
        </w:numPr>
      </w:pPr>
      <w:r w:rsidRPr="00F215B1">
        <w:t>E-Mailadressen</w:t>
      </w:r>
    </w:p>
    <w:p w14:paraId="3F64E341" w14:textId="77777777" w:rsidR="001D0CB2" w:rsidRPr="00FD7008" w:rsidRDefault="00E27FE2">
      <w:pPr>
        <w:pStyle w:val="Listenabsatz"/>
        <w:numPr>
          <w:ilvl w:val="0"/>
          <w:numId w:val="27"/>
        </w:numPr>
      </w:pPr>
      <w:r w:rsidRPr="00FD7008">
        <w:t xml:space="preserve">Web Universal </w:t>
      </w:r>
      <w:proofErr w:type="spellStart"/>
      <w:r w:rsidRPr="00F215B1">
        <w:t>Resource</w:t>
      </w:r>
      <w:proofErr w:type="spellEnd"/>
      <w:r w:rsidRPr="00FD7008">
        <w:t xml:space="preserve"> Locators (URLs)</w:t>
      </w:r>
    </w:p>
    <w:p w14:paraId="1C6F1BA4" w14:textId="77777777" w:rsidR="001D0CB2" w:rsidRDefault="00E27FE2">
      <w:pPr>
        <w:pStyle w:val="Listenabsatz"/>
        <w:numPr>
          <w:ilvl w:val="0"/>
          <w:numId w:val="27"/>
        </w:numPr>
      </w:pPr>
      <w:r>
        <w:t>Sozialversicherungsnummern</w:t>
      </w:r>
    </w:p>
    <w:p w14:paraId="6D84330C" w14:textId="77777777" w:rsidR="001D0CB2" w:rsidRDefault="00E27FE2">
      <w:pPr>
        <w:pStyle w:val="Listenabsatz"/>
        <w:numPr>
          <w:ilvl w:val="0"/>
          <w:numId w:val="27"/>
        </w:numPr>
      </w:pPr>
      <w:r>
        <w:t xml:space="preserve">Internet </w:t>
      </w:r>
      <w:r w:rsidRPr="00F215B1">
        <w:t>Protocol</w:t>
      </w:r>
      <w:r>
        <w:t xml:space="preserve"> (IP) Adressen</w:t>
      </w:r>
    </w:p>
    <w:p w14:paraId="03A756B6" w14:textId="77777777" w:rsidR="001D0CB2" w:rsidRDefault="00E27FE2">
      <w:pPr>
        <w:pStyle w:val="Listenabsatz"/>
        <w:numPr>
          <w:ilvl w:val="0"/>
          <w:numId w:val="27"/>
        </w:numPr>
      </w:pPr>
      <w:r>
        <w:t>Patienten-IDs aus elektronischen Patientenakten</w:t>
      </w:r>
    </w:p>
    <w:p w14:paraId="45B647A1" w14:textId="77777777" w:rsidR="001D0CB2" w:rsidRDefault="00E27FE2">
      <w:pPr>
        <w:pStyle w:val="Listenabsatz"/>
        <w:numPr>
          <w:ilvl w:val="0"/>
          <w:numId w:val="27"/>
        </w:numPr>
      </w:pPr>
      <w:r>
        <w:t xml:space="preserve">Biometrische Identifikatoren, Fingerprint und Stimme </w:t>
      </w:r>
      <w:r w:rsidRPr="00F215B1">
        <w:t>eingeschlossen</w:t>
      </w:r>
    </w:p>
    <w:p w14:paraId="7CE6B836" w14:textId="77777777" w:rsidR="001D0CB2" w:rsidRDefault="00E27FE2">
      <w:pPr>
        <w:pStyle w:val="Listenabsatz"/>
        <w:numPr>
          <w:ilvl w:val="0"/>
          <w:numId w:val="27"/>
        </w:numPr>
      </w:pPr>
      <w:r>
        <w:t>Identifikatoren eines Gesundheitsplans</w:t>
      </w:r>
    </w:p>
    <w:p w14:paraId="3A35EFD2" w14:textId="77777777" w:rsidR="001D0CB2" w:rsidRDefault="00E27FE2">
      <w:pPr>
        <w:pStyle w:val="Listenabsatz"/>
        <w:numPr>
          <w:ilvl w:val="0"/>
          <w:numId w:val="27"/>
        </w:numPr>
      </w:pPr>
      <w:r w:rsidRPr="00F215B1">
        <w:lastRenderedPageBreak/>
        <w:t>Fotographien</w:t>
      </w:r>
      <w:r>
        <w:t xml:space="preserve">, die das gesamte Gesicht zeigen, und alle vergleichbaren </w:t>
      </w:r>
      <w:r w:rsidRPr="00F215B1">
        <w:t>Bildnisse</w:t>
      </w:r>
    </w:p>
    <w:p w14:paraId="423E1D09" w14:textId="77777777" w:rsidR="001D0CB2" w:rsidRDefault="00E27FE2">
      <w:pPr>
        <w:pStyle w:val="Listenabsatz"/>
        <w:numPr>
          <w:ilvl w:val="0"/>
          <w:numId w:val="27"/>
        </w:numPr>
      </w:pPr>
      <w:r>
        <w:t>Kontonummern, Abrechnungsnummern</w:t>
      </w:r>
    </w:p>
    <w:p w14:paraId="63ECC2A0" w14:textId="6024F800" w:rsidR="001D0CB2" w:rsidRDefault="00E27FE2">
      <w:pPr>
        <w:pStyle w:val="Listenabsatz"/>
        <w:numPr>
          <w:ilvl w:val="0"/>
          <w:numId w:val="27"/>
        </w:numPr>
      </w:pPr>
      <w:r>
        <w:t xml:space="preserve">Jede andere ein Individuum identifizierende Nummer oder Kennzeichen, ausgenommen Angaben bzgl. </w:t>
      </w:r>
      <w:r w:rsidRPr="00F215B1">
        <w:t>§</w:t>
      </w:r>
      <w:r w:rsidR="00F215B1" w:rsidRPr="00F215B1">
        <w:t> </w:t>
      </w:r>
      <w:r w:rsidRPr="00F215B1">
        <w:t>16.4514</w:t>
      </w:r>
      <w:r>
        <w:t xml:space="preserve">(c) </w:t>
      </w:r>
      <w:r w:rsidRPr="006C6D59">
        <w:t>HIPAA</w:t>
      </w:r>
      <w:r>
        <w:t xml:space="preserve"> (Angaben zur Re-Identifikation</w:t>
      </w:r>
      <w:r w:rsidRPr="00F215B1">
        <w:t>)</w:t>
      </w:r>
    </w:p>
    <w:p w14:paraId="0CF36499" w14:textId="77777777" w:rsidR="001D0CB2" w:rsidRDefault="00E27FE2">
      <w:pPr>
        <w:pStyle w:val="Listenabsatz"/>
        <w:numPr>
          <w:ilvl w:val="0"/>
          <w:numId w:val="27"/>
        </w:numPr>
      </w:pPr>
      <w:r>
        <w:t xml:space="preserve">Nummern von Zeugnissen, Zertifikaten, Attesten, </w:t>
      </w:r>
      <w:r w:rsidRPr="00F215B1">
        <w:t>Führerscheinnummer</w:t>
      </w:r>
    </w:p>
    <w:p w14:paraId="7066E758" w14:textId="77324F9B" w:rsidR="001D0CB2" w:rsidRDefault="00E27FE2">
      <w:pPr>
        <w:pStyle w:val="Listenabsatz"/>
        <w:numPr>
          <w:ilvl w:val="0"/>
          <w:numId w:val="27"/>
        </w:numPr>
      </w:pPr>
      <w:r>
        <w:t>De</w:t>
      </w:r>
      <w:r w:rsidR="00D2342B">
        <w:t>n oder de</w:t>
      </w:r>
      <w:r>
        <w:t>m Verantwortliche</w:t>
      </w:r>
      <w:r w:rsidR="00D2342B">
        <w:t>n</w:t>
      </w:r>
      <w:r>
        <w:t xml:space="preserve"> ist nach bestem Wissen und Gewissen keine Möglichkeit bekannt, wie die zu verarbeitenden Daten alleine oder in Kombination mit anderen Informationen zur Re-Identifikation genutzt werden können (ausgenommen </w:t>
      </w:r>
      <w:r w:rsidRPr="00F215B1">
        <w:t>§</w:t>
      </w:r>
      <w:r w:rsidR="00F215B1" w:rsidRPr="00F215B1">
        <w:t> </w:t>
      </w:r>
      <w:r w:rsidRPr="00F215B1">
        <w:t>16.4514</w:t>
      </w:r>
      <w:r>
        <w:t xml:space="preserve">(c) </w:t>
      </w:r>
      <w:r w:rsidRPr="006C6D59">
        <w:t>HIPAA</w:t>
      </w:r>
      <w:r w:rsidRPr="00F215B1">
        <w:t>)</w:t>
      </w:r>
    </w:p>
    <w:p w14:paraId="36C609CA" w14:textId="1B751EFB" w:rsidR="001D0CB2" w:rsidRDefault="00E27FE2">
      <w:r w:rsidRPr="00F215B1">
        <w:t>§</w:t>
      </w:r>
      <w:r w:rsidR="00F215B1" w:rsidRPr="00F215B1">
        <w:t> </w:t>
      </w:r>
      <w:r w:rsidRPr="00F215B1">
        <w:t>16.4514</w:t>
      </w:r>
      <w:r>
        <w:t xml:space="preserve">(c) </w:t>
      </w:r>
      <w:r w:rsidRPr="006C6D59">
        <w:t>HIPAA</w:t>
      </w:r>
      <w:r>
        <w:t xml:space="preserve"> sieht die Möglichkeit einer Re-Identifikation vor</w:t>
      </w:r>
      <w:r w:rsidR="006526E1">
        <w:t>. Dazu kann</w:t>
      </w:r>
      <w:r>
        <w:t xml:space="preserve"> eine</w:t>
      </w:r>
      <w:r w:rsidR="006526E1">
        <w:t>r</w:t>
      </w:r>
      <w:r>
        <w:t xml:space="preserve"> betroffene</w:t>
      </w:r>
      <w:r w:rsidR="006526E1">
        <w:t>n</w:t>
      </w:r>
      <w:r>
        <w:t xml:space="preserve"> Person im Rahmen der </w:t>
      </w:r>
      <w:r w:rsidRPr="006C6D59">
        <w:t>De-Iden</w:t>
      </w:r>
      <w:r w:rsidR="00B0176C" w:rsidRPr="006C6D59">
        <w:t>ti</w:t>
      </w:r>
      <w:r w:rsidRPr="006C6D59">
        <w:t>fikation</w:t>
      </w:r>
      <w:r>
        <w:t xml:space="preserve"> ein Code oder ein anderes Identifizierungskennzeichen zugewiesen </w:t>
      </w:r>
      <w:r w:rsidR="006526E1">
        <w:t>werden</w:t>
      </w:r>
      <w:r>
        <w:t>, um dadurch eine Möglichkeit zur Re-Identifikation zu erhalten.</w:t>
      </w:r>
    </w:p>
    <w:p w14:paraId="667256BC" w14:textId="07F613CD" w:rsidR="001D0CB2" w:rsidRDefault="006526E1">
      <w:r>
        <w:t>Dieses wiederum hat zur Konsequenz, dass e</w:t>
      </w:r>
      <w:r w:rsidR="00E27FE2">
        <w:t xml:space="preserve">ine </w:t>
      </w:r>
      <w:r w:rsidR="00E27FE2" w:rsidRPr="006C6D59">
        <w:t>De-I</w:t>
      </w:r>
      <w:r w:rsidR="00C620FF" w:rsidRPr="006C6D59">
        <w:t>d</w:t>
      </w:r>
      <w:r w:rsidR="00E27FE2" w:rsidRPr="006C6D59">
        <w:t>entifikation</w:t>
      </w:r>
      <w:r w:rsidR="00E27FE2">
        <w:t xml:space="preserve"> nach </w:t>
      </w:r>
      <w:r w:rsidR="00E27FE2" w:rsidRPr="006C6D59">
        <w:t>HIPAA</w:t>
      </w:r>
      <w:r w:rsidR="00E27FE2">
        <w:t xml:space="preserve"> somit keine Anonymisierung im Sinne des europäischen Rechts dar</w:t>
      </w:r>
      <w:r w:rsidR="00FD7008">
        <w:t>stellt</w:t>
      </w:r>
      <w:r w:rsidR="00E27FE2">
        <w:t xml:space="preserve">. </w:t>
      </w:r>
      <w:r>
        <w:t>E</w:t>
      </w:r>
      <w:r w:rsidR="00E27FE2">
        <w:t xml:space="preserve">ine </w:t>
      </w:r>
      <w:r w:rsidR="00E27FE2" w:rsidRPr="006C6D59">
        <w:t>De-I</w:t>
      </w:r>
      <w:r w:rsidR="00B0176C" w:rsidRPr="006C6D59">
        <w:t>d</w:t>
      </w:r>
      <w:r w:rsidR="00E27FE2" w:rsidRPr="006C6D59">
        <w:t>entifikation</w:t>
      </w:r>
      <w:r w:rsidR="00E27FE2">
        <w:t xml:space="preserve"> nach </w:t>
      </w:r>
      <w:r w:rsidR="00E27FE2" w:rsidRPr="006C6D59">
        <w:t>HIPAA</w:t>
      </w:r>
      <w:r w:rsidR="00E27FE2">
        <w:t xml:space="preserve"> kann</w:t>
      </w:r>
      <w:r>
        <w:t xml:space="preserve"> jedoch </w:t>
      </w:r>
      <w:r w:rsidR="00E27FE2">
        <w:t>den aus der DS-GVO resultierenden Anforderungen bezüglich einer Pseudonymisierung genügen, wenn der Verantwortliche keinen Zugriff auf die ggf. vorhandene Re-Identifikationsmöglichkeit hat.</w:t>
      </w:r>
    </w:p>
    <w:p w14:paraId="4B7647A8" w14:textId="77777777" w:rsidR="001D0CB2" w:rsidRDefault="001D0CB2"/>
    <w:p w14:paraId="13A7DE50"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2A085438" w14:textId="77777777" w:rsidR="001D0CB2" w:rsidRDefault="00E27FE2">
      <w:pPr>
        <w:pStyle w:val="berschrift1"/>
      </w:pPr>
      <w:bookmarkStart w:id="89" w:name="_Toc517507965"/>
      <w:r w:rsidRPr="00F215B1">
        <w:lastRenderedPageBreak/>
        <w:t>Hands</w:t>
      </w:r>
      <w:r>
        <w:t xml:space="preserve"> on: Wie geht man vor?</w:t>
      </w:r>
      <w:bookmarkEnd w:id="89"/>
    </w:p>
    <w:p w14:paraId="1C93A1D1" w14:textId="77777777" w:rsidR="001D0CB2" w:rsidRDefault="00E27FE2">
      <w:pPr>
        <w:pStyle w:val="berschrift2"/>
      </w:pPr>
      <w:bookmarkStart w:id="90" w:name="_Toc517507966"/>
      <w:r>
        <w:t>Identifizierung der direkten und indirekten identifizierenden Daten</w:t>
      </w:r>
      <w:bookmarkEnd w:id="90"/>
    </w:p>
    <w:p w14:paraId="3E202FDF" w14:textId="77777777" w:rsidR="00271C2A" w:rsidRDefault="00E27FE2">
      <w:pPr>
        <w:spacing w:after="0"/>
      </w:pPr>
      <w:r>
        <w:t>Will man eine Pseudo- bzw. Anonymisierung durchführen, müssen in einem ersten Schritt sowohl direkte als auch indirekte Identifikationsmerkmale im Datensatz identifiziert und bzgl. der Notwendigkeit der Änderung/Löschung hinsichtlich des Prozesses einer Pseudonymisierung oder Anonymisierung bewertet werden.</w:t>
      </w:r>
    </w:p>
    <w:p w14:paraId="66B38E9D" w14:textId="35BA10B8" w:rsidR="001D0CB2" w:rsidRDefault="00E27FE2">
      <w:pPr>
        <w:spacing w:after="0"/>
      </w:pPr>
      <w:r>
        <w:t>Die zur Verarbeitung vorgesehenen Daten sind also in drei Kategorien einzuteilen:</w:t>
      </w:r>
    </w:p>
    <w:p w14:paraId="11730603" w14:textId="286E884B" w:rsidR="001D0CB2" w:rsidRDefault="00E27FE2">
      <w:pPr>
        <w:pStyle w:val="Listenabsatz"/>
        <w:numPr>
          <w:ilvl w:val="0"/>
          <w:numId w:val="22"/>
        </w:numPr>
      </w:pPr>
      <w:r>
        <w:t xml:space="preserve">Direkte Identifikationsmerkmale: </w:t>
      </w:r>
      <w:r w:rsidR="00F215B1" w:rsidRPr="00F215B1">
        <w:t>A</w:t>
      </w:r>
      <w:r w:rsidRPr="00F215B1">
        <w:t>lle</w:t>
      </w:r>
      <w:r>
        <w:t xml:space="preserve"> Daten, welche eine direkte Identifizierung zulassen. Beispiele für direkte Identifikationsmerkmale sind insbesondere Namen (</w:t>
      </w:r>
      <w:r w:rsidRPr="00F215B1">
        <w:t>der bürgerlicher Name</w:t>
      </w:r>
      <w:r>
        <w:t xml:space="preserve"> sowie alle sonstige Namen wie beispielsweise der Rufname oder der Chat Name), unter denen die Person bekannt ist.</w:t>
      </w:r>
    </w:p>
    <w:p w14:paraId="04BA66ED" w14:textId="572C0382" w:rsidR="001D0CB2" w:rsidRDefault="00E27FE2">
      <w:pPr>
        <w:pStyle w:val="Listenabsatz"/>
        <w:numPr>
          <w:ilvl w:val="0"/>
          <w:numId w:val="22"/>
        </w:numPr>
      </w:pPr>
      <w:r>
        <w:t xml:space="preserve">Indirekte Identifikationsmerkmale: </w:t>
      </w:r>
      <w:r w:rsidR="00F215B1" w:rsidRPr="00F215B1">
        <w:t>A</w:t>
      </w:r>
      <w:r w:rsidRPr="00F215B1">
        <w:t>lle</w:t>
      </w:r>
      <w:r>
        <w:t xml:space="preserve"> Daten, welche in Verbindung mit anderem indirektem oder externem Wissen eine Identifikation </w:t>
      </w:r>
      <w:r w:rsidRPr="00F215B1">
        <w:t>potentiell</w:t>
      </w:r>
      <w:r>
        <w:t xml:space="preserve"> ermöglichen. Beispiele für indirekte Identifikationsmerkmale sind:</w:t>
      </w:r>
    </w:p>
    <w:p w14:paraId="7E0B50A9" w14:textId="77777777" w:rsidR="001D0CB2" w:rsidRDefault="00E27FE2">
      <w:pPr>
        <w:pStyle w:val="Listenabsatz"/>
        <w:numPr>
          <w:ilvl w:val="1"/>
          <w:numId w:val="22"/>
        </w:numPr>
      </w:pPr>
      <w:r>
        <w:t>Personenbezeichner (z. B. Patienten-ID, Sozialversicherungsnummer, Steuernummer, Autokennzeichen, Kontonummer, Versicherungsnummer, Geburtsdatum)</w:t>
      </w:r>
    </w:p>
    <w:p w14:paraId="132256F0" w14:textId="77777777" w:rsidR="001D0CB2" w:rsidRDefault="00E27FE2">
      <w:pPr>
        <w:pStyle w:val="Listenabsatz"/>
        <w:numPr>
          <w:ilvl w:val="1"/>
          <w:numId w:val="22"/>
        </w:numPr>
      </w:pPr>
      <w:r>
        <w:t>Erscheinungsmerkmale (z. B. Körpergröße, Haarfarbe, Kleidung, Tätowierungen)</w:t>
      </w:r>
    </w:p>
    <w:p w14:paraId="276DEC43" w14:textId="77777777" w:rsidR="001D0CB2" w:rsidRDefault="00E27FE2">
      <w:pPr>
        <w:pStyle w:val="Listenabsatz"/>
        <w:numPr>
          <w:ilvl w:val="1"/>
          <w:numId w:val="22"/>
        </w:numPr>
      </w:pPr>
      <w:r>
        <w:t>Biometrische Kennzeichen (z. B. Gesicht, Stimmprofile, Fingerabdrücke)</w:t>
      </w:r>
    </w:p>
    <w:p w14:paraId="3F0D8D39" w14:textId="77777777" w:rsidR="001D0CB2" w:rsidRDefault="00E27FE2">
      <w:pPr>
        <w:pStyle w:val="Listenabsatz"/>
        <w:numPr>
          <w:ilvl w:val="1"/>
          <w:numId w:val="22"/>
        </w:numPr>
      </w:pPr>
      <w:r>
        <w:t>Genetische Daten</w:t>
      </w:r>
    </w:p>
    <w:p w14:paraId="05EF971B" w14:textId="5F89829F" w:rsidR="001D0CB2" w:rsidRDefault="00E27FE2" w:rsidP="00072F0D">
      <w:pPr>
        <w:pStyle w:val="Listenabsatz"/>
        <w:numPr>
          <w:ilvl w:val="1"/>
          <w:numId w:val="22"/>
        </w:numPr>
        <w:jc w:val="left"/>
      </w:pPr>
      <w:r>
        <w:t xml:space="preserve">Digitale Zertifikate, welche eine Identifikationsmöglichkeit beinhalten </w:t>
      </w:r>
      <w:r w:rsidR="00072F0D">
        <w:br/>
      </w:r>
      <w:r>
        <w:t>(z. B. Zertifikate zur elektronischen Unterschrift</w:t>
      </w:r>
      <w:r w:rsidRPr="00F215B1">
        <w:t>)</w:t>
      </w:r>
    </w:p>
    <w:p w14:paraId="5384A0A7" w14:textId="3964E4D4" w:rsidR="001D0CB2" w:rsidRDefault="00E27FE2" w:rsidP="00072F0D">
      <w:pPr>
        <w:pStyle w:val="Listenabsatz"/>
        <w:numPr>
          <w:ilvl w:val="1"/>
          <w:numId w:val="22"/>
        </w:numPr>
        <w:jc w:val="left"/>
      </w:pPr>
      <w:r>
        <w:t>Identifikationsmerkmale basierend auf elektronische</w:t>
      </w:r>
      <w:r w:rsidR="00872B3C">
        <w:t>r</w:t>
      </w:r>
      <w:r>
        <w:t xml:space="preserve"> Kommunikation </w:t>
      </w:r>
      <w:r w:rsidR="00072F0D">
        <w:br/>
      </w:r>
      <w:r>
        <w:t xml:space="preserve">(z B. Telefonnummer, Faxnummer, </w:t>
      </w:r>
      <w:r w:rsidRPr="00F215B1">
        <w:t>E-Mailadresse</w:t>
      </w:r>
      <w:r>
        <w:t>, IP-Adresse</w:t>
      </w:r>
      <w:r w:rsidRPr="00F215B1">
        <w:t>)</w:t>
      </w:r>
    </w:p>
    <w:p w14:paraId="22140933" w14:textId="77777777" w:rsidR="001D0CB2" w:rsidRDefault="00E27FE2">
      <w:pPr>
        <w:pStyle w:val="Listenabsatz"/>
        <w:numPr>
          <w:ilvl w:val="1"/>
          <w:numId w:val="22"/>
        </w:numPr>
      </w:pPr>
      <w:r>
        <w:t>Demographische Daten (z. B. Religion, Geburtsland, Muttersprache, Vorstrafen)</w:t>
      </w:r>
    </w:p>
    <w:p w14:paraId="75B1BDE5" w14:textId="0662647C" w:rsidR="001D0CB2" w:rsidRDefault="00E27FE2">
      <w:pPr>
        <w:pStyle w:val="Listenabsatz"/>
        <w:numPr>
          <w:ilvl w:val="1"/>
          <w:numId w:val="22"/>
        </w:numPr>
      </w:pPr>
      <w:r>
        <w:t>Zuordnungsmerkale (z. B. Beruf, Funktion, Anschriften, Vorstrafen, Name der Mutter/des Vaters)</w:t>
      </w:r>
    </w:p>
    <w:p w14:paraId="3ECEE843" w14:textId="77777777" w:rsidR="001D0CB2" w:rsidRDefault="00E27FE2">
      <w:pPr>
        <w:pStyle w:val="Listenabsatz"/>
        <w:numPr>
          <w:ilvl w:val="1"/>
          <w:numId w:val="22"/>
        </w:numPr>
      </w:pPr>
      <w:proofErr w:type="spellStart"/>
      <w:r>
        <w:t>Ausreißervariablen</w:t>
      </w:r>
      <w:proofErr w:type="spellEnd"/>
      <w:r>
        <w:t xml:space="preserve"> (z. B</w:t>
      </w:r>
      <w:r>
        <w:rPr>
          <w:rFonts w:ascii="Symbol" w:hAnsi="Symbol"/>
        </w:rPr>
        <w:t></w:t>
      </w:r>
      <w:r>
        <w:t xml:space="preserve"> </w:t>
      </w:r>
      <w:r w:rsidRPr="00F215B1">
        <w:t>seltene</w:t>
      </w:r>
      <w:r>
        <w:t xml:space="preserve"> Diagnosen, Behandlungsbesonderheiten, körperliche Fehlbildungen, für die untersuchte Population untypische Merkmale).</w:t>
      </w:r>
    </w:p>
    <w:p w14:paraId="22B125BD" w14:textId="3CF05C14" w:rsidR="001D0CB2" w:rsidRDefault="00E27FE2">
      <w:pPr>
        <w:pStyle w:val="Listenabsatz"/>
      </w:pPr>
      <w:r>
        <w:t>Je nachdem</w:t>
      </w:r>
      <w:r w:rsidR="00872B3C">
        <w:t>, welche weiteren Informationen dem</w:t>
      </w:r>
      <w:r>
        <w:t xml:space="preserve"> oder den </w:t>
      </w:r>
      <w:r w:rsidR="00FD7008">
        <w:t xml:space="preserve">Verantwortlichen </w:t>
      </w:r>
      <w:r>
        <w:t>zur Verfügung stehen</w:t>
      </w:r>
      <w:r w:rsidR="00872B3C">
        <w:t>,</w:t>
      </w:r>
      <w:r>
        <w:t xml:space="preserve"> sind indirekte Identifikationsmerkmale ggf. als direkte Identifikationsmerkmale anzusehen.</w:t>
      </w:r>
    </w:p>
    <w:p w14:paraId="01017D82" w14:textId="77777777" w:rsidR="001D0CB2" w:rsidRDefault="00E27FE2">
      <w:pPr>
        <w:pStyle w:val="Listenabsatz"/>
        <w:numPr>
          <w:ilvl w:val="0"/>
          <w:numId w:val="22"/>
        </w:numPr>
      </w:pPr>
      <w:r>
        <w:t xml:space="preserve">Nicht identifizierende Daten: </w:t>
      </w:r>
      <w:r w:rsidRPr="00F215B1">
        <w:t>alle</w:t>
      </w:r>
      <w:r>
        <w:t xml:space="preserve"> anderen Daten, die weder direkte oder indirekte Identifikationsmerkmale darstellen.</w:t>
      </w:r>
    </w:p>
    <w:p w14:paraId="3BD68839" w14:textId="6C09361E" w:rsidR="006260A0" w:rsidRDefault="00E27FE2">
      <w:r>
        <w:t>Gerade bei der Analyse der sogenannten indirekten Identifikationsmerkmale ist häufig eine individuelle, kontextbezogene Betrachtung erforderlich. So kann bspw. in einem Fall die Haarfarbe ein indirektes Identifikationsmerkmal darstellen, durch die eine Person eindeutig identifizierbar wird. In anderen Fällen beinhaltet das Datum „Haarfarbe“ vielleicht keine Re-Identifikationsmöglichkeit. Desgleichen können medizinische Bilddaten neben</w:t>
      </w:r>
      <w:r w:rsidR="006260A0">
        <w:t xml:space="preserve"> den</w:t>
      </w:r>
      <w:r>
        <w:t xml:space="preserve"> zur Identifizierung geeigneten Metadaten (z. B. </w:t>
      </w:r>
      <w:r w:rsidRPr="006C6D59">
        <w:t>DICOM</w:t>
      </w:r>
      <w:r>
        <w:t xml:space="preserve"> </w:t>
      </w:r>
      <w:proofErr w:type="spellStart"/>
      <w:r w:rsidRPr="00F215B1">
        <w:t>StudyUID</w:t>
      </w:r>
      <w:proofErr w:type="spellEnd"/>
      <w:r>
        <w:t>) auch in sich selbst eine Identifikationsmöglichkeit enthalten, z. B. wenn eine 3D-Rekonstruktion des Kopfes eine Gesichtserkennung ermöglichen würde.</w:t>
      </w:r>
    </w:p>
    <w:p w14:paraId="0DD167BF" w14:textId="77777777" w:rsidR="004C4805" w:rsidRDefault="004C4805">
      <w:pPr>
        <w:jc w:val="left"/>
        <w:rPr>
          <w:rFonts w:asciiTheme="majorHAnsi" w:eastAsiaTheme="majorEastAsia" w:hAnsiTheme="majorHAnsi" w:cstheme="majorBidi"/>
          <w:b/>
          <w:bCs/>
          <w:color w:val="4F81BD" w:themeColor="accent1"/>
          <w:sz w:val="26"/>
          <w:szCs w:val="26"/>
        </w:rPr>
      </w:pPr>
      <w:bookmarkStart w:id="91" w:name="_Toc517507967"/>
      <w:r>
        <w:br w:type="page"/>
      </w:r>
    </w:p>
    <w:p w14:paraId="646E170F" w14:textId="7CA98146" w:rsidR="001D0CB2" w:rsidRDefault="00E27FE2">
      <w:pPr>
        <w:pStyle w:val="berschrift2"/>
      </w:pPr>
      <w:r>
        <w:lastRenderedPageBreak/>
        <w:t>Arten von Pseudonymen und ihre Unterscheidungsmöglichkeiten</w:t>
      </w:r>
      <w:bookmarkEnd w:id="91"/>
    </w:p>
    <w:p w14:paraId="6E779405" w14:textId="77777777" w:rsidR="001D0CB2" w:rsidRDefault="00E27FE2">
      <w:pPr>
        <w:spacing w:after="0"/>
      </w:pPr>
      <w:r>
        <w:t>Pseudonyme können einerseits durch den Inhaber der Zuordnungsregel unterschieden werden:</w:t>
      </w:r>
    </w:p>
    <w:p w14:paraId="7C7665D2" w14:textId="77777777" w:rsidR="001D0CB2" w:rsidRDefault="00E27FE2">
      <w:pPr>
        <w:pStyle w:val="Listenabsatz"/>
        <w:numPr>
          <w:ilvl w:val="0"/>
          <w:numId w:val="17"/>
        </w:numPr>
        <w:jc w:val="left"/>
      </w:pPr>
      <w:r>
        <w:t>Pseudonyme werden ausschließlich vom Betroffenen selbst vergeben. Ein Beispiel hierfür ist der „</w:t>
      </w:r>
      <w:proofErr w:type="spellStart"/>
      <w:r>
        <w:t>Nickname</w:t>
      </w:r>
      <w:proofErr w:type="spellEnd"/>
      <w:r>
        <w:t>“ des Nutzers im Chat.</w:t>
      </w:r>
    </w:p>
    <w:p w14:paraId="652D199B" w14:textId="77777777" w:rsidR="001D0CB2" w:rsidRDefault="00E27FE2">
      <w:pPr>
        <w:pStyle w:val="Listenabsatz"/>
        <w:numPr>
          <w:ilvl w:val="0"/>
          <w:numId w:val="17"/>
        </w:numPr>
        <w:jc w:val="left"/>
      </w:pPr>
      <w:r>
        <w:t xml:space="preserve">Pseudonyme werden natürlich auch vom ursprünglichen </w:t>
      </w:r>
      <w:proofErr w:type="spellStart"/>
      <w:r>
        <w:t>Verarbeiter</w:t>
      </w:r>
      <w:proofErr w:type="spellEnd"/>
      <w:r>
        <w:t xml:space="preserve"> vergeben, wie dies beispielsweise bei der </w:t>
      </w:r>
      <w:r w:rsidRPr="00F215B1">
        <w:t>IP-Adress-Vergabe</w:t>
      </w:r>
      <w:r>
        <w:t xml:space="preserve"> durch einen Internet-Provider erfolgt.</w:t>
      </w:r>
    </w:p>
    <w:p w14:paraId="0E3C33F1" w14:textId="74EE24A6" w:rsidR="001D0CB2" w:rsidRDefault="00E27FE2">
      <w:pPr>
        <w:pStyle w:val="Listenabsatz"/>
        <w:numPr>
          <w:ilvl w:val="0"/>
          <w:numId w:val="17"/>
        </w:numPr>
        <w:jc w:val="left"/>
      </w:pPr>
      <w:r>
        <w:t xml:space="preserve">Pseudonyme können von einem vertrauenswürdigen Dritten vergeben werden, wie dies beispielsweise häufig bei </w:t>
      </w:r>
      <w:r w:rsidR="006260A0">
        <w:t xml:space="preserve">der Einschaltung einer sog. </w:t>
      </w:r>
      <w:proofErr w:type="spellStart"/>
      <w:r w:rsidRPr="00F215B1">
        <w:t>Trusted</w:t>
      </w:r>
      <w:proofErr w:type="spellEnd"/>
      <w:r w:rsidRPr="00F215B1">
        <w:t>-Third-Party</w:t>
      </w:r>
      <w:r>
        <w:t xml:space="preserve"> in medizinischen Forschungsnetzen geschieht.</w:t>
      </w:r>
    </w:p>
    <w:p w14:paraId="36A155DB" w14:textId="77777777" w:rsidR="001D0CB2" w:rsidRDefault="00E27FE2">
      <w:pPr>
        <w:spacing w:after="0"/>
      </w:pPr>
      <w:r>
        <w:t>Eine andere Unterscheidungsmöglichkeit bzgl. Pseudonyme besteht in der Art ihrer Erzeugung:</w:t>
      </w:r>
    </w:p>
    <w:p w14:paraId="666779F7" w14:textId="77777777" w:rsidR="001D0CB2" w:rsidRDefault="00E27FE2">
      <w:pPr>
        <w:pStyle w:val="Listenabsatz"/>
        <w:numPr>
          <w:ilvl w:val="0"/>
          <w:numId w:val="18"/>
        </w:numPr>
      </w:pPr>
      <w:r>
        <w:t>Das Pseudonym wird durch eine schlüsselabhängige Einweg- oder Hashfunktion aus invarianten Daten (Bsp. Identitätsdaten) erzeugt.</w:t>
      </w:r>
    </w:p>
    <w:p w14:paraId="2ABED68B" w14:textId="77777777" w:rsidR="001D0CB2" w:rsidRDefault="00E27FE2">
      <w:pPr>
        <w:pStyle w:val="Listenabsatz"/>
        <w:numPr>
          <w:ilvl w:val="0"/>
          <w:numId w:val="18"/>
        </w:numPr>
      </w:pPr>
      <w:r>
        <w:t>Das Pseudonym wird (willkürlich) nach einem festen Einweg-Algorithmus vom Benutzer aus einem Geheimnis (z. B. Passphrase) erzeugt.</w:t>
      </w:r>
    </w:p>
    <w:p w14:paraId="763955DB" w14:textId="77777777" w:rsidR="001D0CB2" w:rsidRDefault="00E27FE2">
      <w:pPr>
        <w:pStyle w:val="Listenabsatz"/>
        <w:numPr>
          <w:ilvl w:val="0"/>
          <w:numId w:val="18"/>
        </w:numPr>
      </w:pPr>
      <w:r>
        <w:t>Das Pseudonym wird (zufällig) frei gewählt oder nach einem Zufallsverfahren erzeugt.</w:t>
      </w:r>
    </w:p>
    <w:p w14:paraId="109F97B7" w14:textId="77777777" w:rsidR="001D0CB2" w:rsidRDefault="00E27FE2">
      <w:pPr>
        <w:spacing w:after="0"/>
      </w:pPr>
      <w:r>
        <w:t xml:space="preserve">Eine dritte Unterscheidungsmöglichkeit bei Pseudonymen besteht in ihrer gesellschaftlichen Verwendung. Pseudonyme können </w:t>
      </w:r>
      <w:r w:rsidRPr="00F215B1">
        <w:t>als</w:t>
      </w:r>
    </w:p>
    <w:p w14:paraId="558C0359" w14:textId="77777777" w:rsidR="001D0CB2" w:rsidRDefault="00E27FE2">
      <w:pPr>
        <w:pStyle w:val="Listenabsatz"/>
        <w:numPr>
          <w:ilvl w:val="0"/>
          <w:numId w:val="8"/>
        </w:numPr>
      </w:pPr>
      <w:r>
        <w:t>Personenpseudonyme, z. B.</w:t>
      </w:r>
    </w:p>
    <w:p w14:paraId="77694C30" w14:textId="77777777" w:rsidR="001D0CB2" w:rsidRDefault="00E27FE2">
      <w:pPr>
        <w:pStyle w:val="Listenabsatz"/>
        <w:numPr>
          <w:ilvl w:val="1"/>
          <w:numId w:val="8"/>
        </w:numPr>
      </w:pPr>
      <w:r>
        <w:t>Öffentliches Personenpseudonym (z. B. Telefonnummer)</w:t>
      </w:r>
    </w:p>
    <w:p w14:paraId="1D9CCBFE" w14:textId="77777777" w:rsidR="001D0CB2" w:rsidRDefault="00E27FE2">
      <w:pPr>
        <w:pStyle w:val="Listenabsatz"/>
        <w:numPr>
          <w:ilvl w:val="1"/>
          <w:numId w:val="8"/>
        </w:numPr>
      </w:pPr>
      <w:r>
        <w:t>Nichtöffentliches Personenpseudonym (z. B. Kontonummer)</w:t>
      </w:r>
    </w:p>
    <w:p w14:paraId="234AA12C" w14:textId="77777777" w:rsidR="001D0CB2" w:rsidRDefault="00E27FE2">
      <w:pPr>
        <w:pStyle w:val="Listenabsatz"/>
        <w:numPr>
          <w:ilvl w:val="1"/>
          <w:numId w:val="8"/>
        </w:numPr>
        <w:spacing w:after="0"/>
        <w:ind w:left="1434" w:hanging="357"/>
      </w:pPr>
      <w:r>
        <w:t>Anonymes Personenpseudonym (z. B. Genom)</w:t>
      </w:r>
    </w:p>
    <w:p w14:paraId="0115DCEB" w14:textId="77777777" w:rsidR="001D0CB2" w:rsidRDefault="00E27FE2">
      <w:pPr>
        <w:spacing w:after="0"/>
      </w:pPr>
      <w:r w:rsidRPr="00F215B1">
        <w:t>oder</w:t>
      </w:r>
      <w:r>
        <w:t xml:space="preserve"> auch als</w:t>
      </w:r>
    </w:p>
    <w:p w14:paraId="3EC8E53C" w14:textId="77777777" w:rsidR="001D0CB2" w:rsidRDefault="00E27FE2">
      <w:pPr>
        <w:pStyle w:val="Listenabsatz"/>
        <w:numPr>
          <w:ilvl w:val="0"/>
          <w:numId w:val="8"/>
        </w:numPr>
      </w:pPr>
      <w:r>
        <w:t>Rollenpseudonyme, wie beispielsweise</w:t>
      </w:r>
    </w:p>
    <w:p w14:paraId="3C0EFBAD" w14:textId="77777777" w:rsidR="001D0CB2" w:rsidRDefault="00E27FE2">
      <w:pPr>
        <w:pStyle w:val="Listenabsatz"/>
        <w:numPr>
          <w:ilvl w:val="1"/>
          <w:numId w:val="8"/>
        </w:numPr>
      </w:pPr>
      <w:r>
        <w:t>Geschäftsbeziehungspseudonym (z. B. Chat- Name)</w:t>
      </w:r>
    </w:p>
    <w:p w14:paraId="25D9E8BA" w14:textId="77777777" w:rsidR="001D0CB2" w:rsidRDefault="00E27FE2">
      <w:pPr>
        <w:pStyle w:val="Listenabsatz"/>
        <w:numPr>
          <w:ilvl w:val="1"/>
          <w:numId w:val="8"/>
        </w:numPr>
        <w:spacing w:after="0"/>
        <w:ind w:left="1434" w:hanging="357"/>
      </w:pPr>
      <w:r>
        <w:t>Transaktionspseudonym (z. B. PIN, TAN)</w:t>
      </w:r>
    </w:p>
    <w:p w14:paraId="33C1E8FC" w14:textId="77777777" w:rsidR="001D0CB2" w:rsidRDefault="00E27FE2">
      <w:r w:rsidRPr="00F215B1">
        <w:t>genutzt</w:t>
      </w:r>
      <w:r>
        <w:t xml:space="preserve"> werden.</w:t>
      </w:r>
    </w:p>
    <w:p w14:paraId="3113D4FA" w14:textId="77777777" w:rsidR="001D0CB2" w:rsidRDefault="00E27FE2">
      <w:pPr>
        <w:pStyle w:val="berschrift2"/>
      </w:pPr>
      <w:bookmarkStart w:id="92" w:name="_Toc517507968"/>
      <w:r>
        <w:t>Methoden zur Pseudonymisierung/Anonymisierung</w:t>
      </w:r>
      <w:bookmarkEnd w:id="92"/>
    </w:p>
    <w:p w14:paraId="60DE54F5" w14:textId="77777777" w:rsidR="001D0CB2" w:rsidRDefault="00E27FE2">
      <w:r>
        <w:t>Sowohl bei der Pseudonymisierung als auch bei der Anonymisierung gibt es unterschiedliche Methoden, die im Einzelfall danach evaluiert werden sollten, wie mit ihnen am besten der individuell verfolgte Zweck erreicht werden kann.</w:t>
      </w:r>
    </w:p>
    <w:p w14:paraId="4C6E288C" w14:textId="77777777" w:rsidR="001D0CB2" w:rsidRDefault="00E27FE2">
      <w:pPr>
        <w:pStyle w:val="berschrift3"/>
      </w:pPr>
      <w:bookmarkStart w:id="93" w:name="_Toc517507969"/>
      <w:r>
        <w:t>Nichtangabe</w:t>
      </w:r>
      <w:bookmarkEnd w:id="93"/>
    </w:p>
    <w:p w14:paraId="39167221" w14:textId="77777777" w:rsidR="001D0CB2" w:rsidRDefault="00E27FE2">
      <w:r>
        <w:t>Das zu schützende Datum wird bei dieser Methode nicht verwendet, sondern weggelassen, z. B. durch Löschung oder Nicht-Exportieren von Spalten einer Tabelle einer Datenbank oder auch von Teilbereichen der Werte.</w:t>
      </w:r>
    </w:p>
    <w:p w14:paraId="2D252BB7" w14:textId="704303F0" w:rsidR="001D0CB2" w:rsidRDefault="00E27FE2">
      <w:pPr>
        <w:spacing w:after="0"/>
      </w:pPr>
      <w:r>
        <w:rPr>
          <w:b/>
        </w:rPr>
        <w:t>Beispiel:</w:t>
      </w:r>
      <w:r>
        <w:t xml:space="preserve"> Die Daten aus </w:t>
      </w:r>
      <w:r>
        <w:fldChar w:fldCharType="begin"/>
      </w:r>
      <w:r>
        <w:instrText xml:space="preserve"> REF _Ref512152891 \h </w:instrText>
      </w:r>
      <w:r>
        <w:fldChar w:fldCharType="separate"/>
      </w:r>
      <w:r w:rsidR="00072F0D">
        <w:t xml:space="preserve">Tabelle </w:t>
      </w:r>
      <w:r w:rsidR="00072F0D">
        <w:rPr>
          <w:noProof/>
        </w:rPr>
        <w:t>1</w:t>
      </w:r>
      <w:r>
        <w:fldChar w:fldCharType="end"/>
      </w:r>
      <w:r>
        <w:t xml:space="preserve"> wurden durch Weglassen von Vorname und Nachname sowie Tag und Datum beim Geburtsdatum wie auch d</w:t>
      </w:r>
      <w:r w:rsidR="006260A0">
        <w:t>ie</w:t>
      </w:r>
      <w:r>
        <w:t xml:space="preserve"> letzten Ziffern bei </w:t>
      </w:r>
      <w:r w:rsidRPr="006C6D59">
        <w:t>ICD</w:t>
      </w:r>
      <w:r>
        <w:t xml:space="preserve"> entpersonalisiert:</w:t>
      </w:r>
    </w:p>
    <w:tbl>
      <w:tblPr>
        <w:tblW w:w="4977" w:type="dxa"/>
        <w:tblInd w:w="55" w:type="dxa"/>
        <w:tblCellMar>
          <w:left w:w="70" w:type="dxa"/>
          <w:right w:w="70" w:type="dxa"/>
        </w:tblCellMar>
        <w:tblLook w:val="04A0" w:firstRow="1" w:lastRow="0" w:firstColumn="1" w:lastColumn="0" w:noHBand="0" w:noVBand="1"/>
      </w:tblPr>
      <w:tblGrid>
        <w:gridCol w:w="1140"/>
        <w:gridCol w:w="1569"/>
        <w:gridCol w:w="1134"/>
        <w:gridCol w:w="1134"/>
      </w:tblGrid>
      <w:tr w:rsidR="001D0CB2" w14:paraId="388131E7" w14:textId="77777777" w:rsidTr="00D8462D">
        <w:trPr>
          <w:trHeight w:val="315"/>
          <w:tblHeader/>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AC926"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Geschlecht</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66D37D16"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A729D5E"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PLZ</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7A0BF9F5"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r>
      <w:tr w:rsidR="001D0CB2" w14:paraId="0F6B8255"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4F64352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5258B30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1983</w:t>
            </w:r>
          </w:p>
        </w:tc>
        <w:tc>
          <w:tcPr>
            <w:tcW w:w="1134" w:type="dxa"/>
            <w:tcBorders>
              <w:top w:val="nil"/>
              <w:left w:val="nil"/>
              <w:bottom w:val="single" w:sz="8" w:space="0" w:color="auto"/>
              <w:right w:val="single" w:sz="8" w:space="0" w:color="auto"/>
            </w:tcBorders>
            <w:shd w:val="clear" w:color="auto" w:fill="auto"/>
            <w:vAlign w:val="bottom"/>
            <w:hideMark/>
          </w:tcPr>
          <w:p w14:paraId="2FD9B9F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10115</w:t>
            </w:r>
          </w:p>
        </w:tc>
        <w:tc>
          <w:tcPr>
            <w:tcW w:w="1134" w:type="dxa"/>
            <w:tcBorders>
              <w:top w:val="nil"/>
              <w:left w:val="nil"/>
              <w:bottom w:val="single" w:sz="8" w:space="0" w:color="auto"/>
              <w:right w:val="single" w:sz="8" w:space="0" w:color="auto"/>
            </w:tcBorders>
            <w:shd w:val="clear" w:color="auto" w:fill="auto"/>
            <w:noWrap/>
            <w:vAlign w:val="bottom"/>
            <w:hideMark/>
          </w:tcPr>
          <w:p w14:paraId="4EBEF937"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C43</w:t>
            </w:r>
          </w:p>
        </w:tc>
      </w:tr>
      <w:tr w:rsidR="001D0CB2" w14:paraId="1026F485"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2A73B81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34693F1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1965</w:t>
            </w:r>
          </w:p>
        </w:tc>
        <w:tc>
          <w:tcPr>
            <w:tcW w:w="1134" w:type="dxa"/>
            <w:tcBorders>
              <w:top w:val="nil"/>
              <w:left w:val="nil"/>
              <w:bottom w:val="single" w:sz="8" w:space="0" w:color="auto"/>
              <w:right w:val="single" w:sz="8" w:space="0" w:color="auto"/>
            </w:tcBorders>
            <w:shd w:val="clear" w:color="auto" w:fill="auto"/>
            <w:vAlign w:val="bottom"/>
            <w:hideMark/>
          </w:tcPr>
          <w:p w14:paraId="44A52F5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10115</w:t>
            </w:r>
          </w:p>
        </w:tc>
        <w:tc>
          <w:tcPr>
            <w:tcW w:w="1134" w:type="dxa"/>
            <w:tcBorders>
              <w:top w:val="nil"/>
              <w:left w:val="nil"/>
              <w:bottom w:val="single" w:sz="8" w:space="0" w:color="auto"/>
              <w:right w:val="single" w:sz="8" w:space="0" w:color="auto"/>
            </w:tcBorders>
            <w:shd w:val="clear" w:color="auto" w:fill="auto"/>
            <w:noWrap/>
            <w:vAlign w:val="bottom"/>
            <w:hideMark/>
          </w:tcPr>
          <w:p w14:paraId="1014FC7D"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D22</w:t>
            </w:r>
          </w:p>
        </w:tc>
      </w:tr>
      <w:tr w:rsidR="001D0CB2" w14:paraId="1106B643"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417F532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4CA4F76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1977</w:t>
            </w:r>
          </w:p>
        </w:tc>
        <w:tc>
          <w:tcPr>
            <w:tcW w:w="1134" w:type="dxa"/>
            <w:tcBorders>
              <w:top w:val="nil"/>
              <w:left w:val="nil"/>
              <w:bottom w:val="single" w:sz="8" w:space="0" w:color="auto"/>
              <w:right w:val="single" w:sz="8" w:space="0" w:color="auto"/>
            </w:tcBorders>
            <w:shd w:val="clear" w:color="auto" w:fill="auto"/>
            <w:vAlign w:val="bottom"/>
            <w:hideMark/>
          </w:tcPr>
          <w:p w14:paraId="6FB3D8C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10178</w:t>
            </w:r>
          </w:p>
        </w:tc>
        <w:tc>
          <w:tcPr>
            <w:tcW w:w="1134" w:type="dxa"/>
            <w:tcBorders>
              <w:top w:val="nil"/>
              <w:left w:val="nil"/>
              <w:bottom w:val="single" w:sz="8" w:space="0" w:color="auto"/>
              <w:right w:val="single" w:sz="8" w:space="0" w:color="auto"/>
            </w:tcBorders>
            <w:shd w:val="clear" w:color="auto" w:fill="auto"/>
            <w:noWrap/>
            <w:vAlign w:val="bottom"/>
            <w:hideMark/>
          </w:tcPr>
          <w:p w14:paraId="6190F4A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C85</w:t>
            </w:r>
          </w:p>
        </w:tc>
      </w:tr>
      <w:tr w:rsidR="001D0CB2" w14:paraId="454DA33C"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498AEB0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7167385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1981</w:t>
            </w:r>
          </w:p>
        </w:tc>
        <w:tc>
          <w:tcPr>
            <w:tcW w:w="1134" w:type="dxa"/>
            <w:tcBorders>
              <w:top w:val="nil"/>
              <w:left w:val="nil"/>
              <w:bottom w:val="single" w:sz="8" w:space="0" w:color="auto"/>
              <w:right w:val="single" w:sz="8" w:space="0" w:color="auto"/>
            </w:tcBorders>
            <w:shd w:val="clear" w:color="auto" w:fill="auto"/>
            <w:vAlign w:val="bottom"/>
            <w:hideMark/>
          </w:tcPr>
          <w:p w14:paraId="1FE968C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10247</w:t>
            </w:r>
          </w:p>
        </w:tc>
        <w:tc>
          <w:tcPr>
            <w:tcW w:w="1134" w:type="dxa"/>
            <w:tcBorders>
              <w:top w:val="nil"/>
              <w:left w:val="nil"/>
              <w:bottom w:val="single" w:sz="8" w:space="0" w:color="auto"/>
              <w:right w:val="single" w:sz="8" w:space="0" w:color="auto"/>
            </w:tcBorders>
            <w:shd w:val="clear" w:color="auto" w:fill="auto"/>
            <w:noWrap/>
            <w:vAlign w:val="bottom"/>
            <w:hideMark/>
          </w:tcPr>
          <w:p w14:paraId="586567D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D44</w:t>
            </w:r>
          </w:p>
        </w:tc>
      </w:tr>
      <w:tr w:rsidR="001D0CB2" w14:paraId="5075E63C"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4E7BFF8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m</w:t>
            </w:r>
          </w:p>
        </w:tc>
        <w:tc>
          <w:tcPr>
            <w:tcW w:w="1569" w:type="dxa"/>
            <w:tcBorders>
              <w:top w:val="nil"/>
              <w:left w:val="nil"/>
              <w:bottom w:val="single" w:sz="8" w:space="0" w:color="auto"/>
              <w:right w:val="single" w:sz="8" w:space="0" w:color="auto"/>
            </w:tcBorders>
            <w:shd w:val="clear" w:color="auto" w:fill="auto"/>
            <w:vAlign w:val="bottom"/>
            <w:hideMark/>
          </w:tcPr>
          <w:p w14:paraId="0605AF0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1985</w:t>
            </w:r>
          </w:p>
        </w:tc>
        <w:tc>
          <w:tcPr>
            <w:tcW w:w="1134" w:type="dxa"/>
            <w:tcBorders>
              <w:top w:val="nil"/>
              <w:left w:val="nil"/>
              <w:bottom w:val="single" w:sz="8" w:space="0" w:color="auto"/>
              <w:right w:val="single" w:sz="8" w:space="0" w:color="auto"/>
            </w:tcBorders>
            <w:shd w:val="clear" w:color="auto" w:fill="auto"/>
            <w:vAlign w:val="bottom"/>
            <w:hideMark/>
          </w:tcPr>
          <w:p w14:paraId="2317D3F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10319</w:t>
            </w:r>
          </w:p>
        </w:tc>
        <w:tc>
          <w:tcPr>
            <w:tcW w:w="1134" w:type="dxa"/>
            <w:tcBorders>
              <w:top w:val="nil"/>
              <w:left w:val="nil"/>
              <w:bottom w:val="single" w:sz="8" w:space="0" w:color="auto"/>
              <w:right w:val="single" w:sz="8" w:space="0" w:color="auto"/>
            </w:tcBorders>
            <w:shd w:val="clear" w:color="auto" w:fill="auto"/>
            <w:noWrap/>
            <w:vAlign w:val="bottom"/>
            <w:hideMark/>
          </w:tcPr>
          <w:p w14:paraId="642A93D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w:t>
            </w:r>
          </w:p>
        </w:tc>
      </w:tr>
      <w:tr w:rsidR="001D0CB2" w14:paraId="4434013C"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560E6AC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022446F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1987</w:t>
            </w:r>
          </w:p>
        </w:tc>
        <w:tc>
          <w:tcPr>
            <w:tcW w:w="1134" w:type="dxa"/>
            <w:tcBorders>
              <w:top w:val="nil"/>
              <w:left w:val="nil"/>
              <w:bottom w:val="single" w:sz="8" w:space="0" w:color="auto"/>
              <w:right w:val="single" w:sz="8" w:space="0" w:color="auto"/>
            </w:tcBorders>
            <w:shd w:val="clear" w:color="auto" w:fill="auto"/>
            <w:vAlign w:val="bottom"/>
            <w:hideMark/>
          </w:tcPr>
          <w:p w14:paraId="44C33B4F"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10407</w:t>
            </w:r>
          </w:p>
        </w:tc>
        <w:tc>
          <w:tcPr>
            <w:tcW w:w="1134" w:type="dxa"/>
            <w:tcBorders>
              <w:top w:val="nil"/>
              <w:left w:val="nil"/>
              <w:bottom w:val="single" w:sz="8" w:space="0" w:color="auto"/>
              <w:right w:val="single" w:sz="8" w:space="0" w:color="auto"/>
            </w:tcBorders>
            <w:shd w:val="clear" w:color="auto" w:fill="auto"/>
            <w:noWrap/>
            <w:vAlign w:val="bottom"/>
            <w:hideMark/>
          </w:tcPr>
          <w:p w14:paraId="10C72DC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w:t>
            </w:r>
          </w:p>
        </w:tc>
      </w:tr>
      <w:tr w:rsidR="001D0CB2" w14:paraId="1FA0166C"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1A2041C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62872C4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1988</w:t>
            </w:r>
          </w:p>
        </w:tc>
        <w:tc>
          <w:tcPr>
            <w:tcW w:w="1134" w:type="dxa"/>
            <w:tcBorders>
              <w:top w:val="nil"/>
              <w:left w:val="nil"/>
              <w:bottom w:val="single" w:sz="8" w:space="0" w:color="auto"/>
              <w:right w:val="single" w:sz="8" w:space="0" w:color="auto"/>
            </w:tcBorders>
            <w:shd w:val="clear" w:color="auto" w:fill="auto"/>
            <w:vAlign w:val="bottom"/>
            <w:hideMark/>
          </w:tcPr>
          <w:p w14:paraId="76B99AB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10435</w:t>
            </w:r>
          </w:p>
        </w:tc>
        <w:tc>
          <w:tcPr>
            <w:tcW w:w="1134" w:type="dxa"/>
            <w:tcBorders>
              <w:top w:val="nil"/>
              <w:left w:val="nil"/>
              <w:bottom w:val="single" w:sz="8" w:space="0" w:color="auto"/>
              <w:right w:val="single" w:sz="8" w:space="0" w:color="auto"/>
            </w:tcBorders>
            <w:shd w:val="clear" w:color="auto" w:fill="auto"/>
            <w:noWrap/>
            <w:vAlign w:val="bottom"/>
            <w:hideMark/>
          </w:tcPr>
          <w:p w14:paraId="49716E45"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w:t>
            </w:r>
          </w:p>
        </w:tc>
      </w:tr>
      <w:tr w:rsidR="001D0CB2" w14:paraId="6300DA5E"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5B89006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31E1611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1968</w:t>
            </w:r>
          </w:p>
        </w:tc>
        <w:tc>
          <w:tcPr>
            <w:tcW w:w="1134" w:type="dxa"/>
            <w:tcBorders>
              <w:top w:val="nil"/>
              <w:left w:val="nil"/>
              <w:bottom w:val="single" w:sz="8" w:space="0" w:color="auto"/>
              <w:right w:val="single" w:sz="8" w:space="0" w:color="auto"/>
            </w:tcBorders>
            <w:shd w:val="clear" w:color="auto" w:fill="auto"/>
            <w:vAlign w:val="bottom"/>
            <w:hideMark/>
          </w:tcPr>
          <w:p w14:paraId="2E56518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10439</w:t>
            </w:r>
          </w:p>
        </w:tc>
        <w:tc>
          <w:tcPr>
            <w:tcW w:w="1134" w:type="dxa"/>
            <w:tcBorders>
              <w:top w:val="nil"/>
              <w:left w:val="nil"/>
              <w:bottom w:val="single" w:sz="8" w:space="0" w:color="auto"/>
              <w:right w:val="single" w:sz="8" w:space="0" w:color="auto"/>
            </w:tcBorders>
            <w:shd w:val="clear" w:color="auto" w:fill="auto"/>
            <w:noWrap/>
            <w:vAlign w:val="bottom"/>
            <w:hideMark/>
          </w:tcPr>
          <w:p w14:paraId="408254ED"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w:t>
            </w:r>
          </w:p>
        </w:tc>
      </w:tr>
      <w:tr w:rsidR="001D0CB2" w14:paraId="1BE3DA84"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32C632E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789C5B5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1978</w:t>
            </w:r>
          </w:p>
        </w:tc>
        <w:tc>
          <w:tcPr>
            <w:tcW w:w="1134" w:type="dxa"/>
            <w:tcBorders>
              <w:top w:val="nil"/>
              <w:left w:val="nil"/>
              <w:bottom w:val="single" w:sz="8" w:space="0" w:color="auto"/>
              <w:right w:val="single" w:sz="8" w:space="0" w:color="auto"/>
            </w:tcBorders>
            <w:shd w:val="clear" w:color="auto" w:fill="auto"/>
            <w:vAlign w:val="bottom"/>
            <w:hideMark/>
          </w:tcPr>
          <w:p w14:paraId="216980CF"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10585</w:t>
            </w:r>
          </w:p>
        </w:tc>
        <w:tc>
          <w:tcPr>
            <w:tcW w:w="1134" w:type="dxa"/>
            <w:tcBorders>
              <w:top w:val="nil"/>
              <w:left w:val="nil"/>
              <w:bottom w:val="single" w:sz="8" w:space="0" w:color="auto"/>
              <w:right w:val="single" w:sz="8" w:space="0" w:color="auto"/>
            </w:tcBorders>
            <w:shd w:val="clear" w:color="auto" w:fill="auto"/>
            <w:noWrap/>
            <w:vAlign w:val="bottom"/>
            <w:hideMark/>
          </w:tcPr>
          <w:p w14:paraId="677F5B7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08C968F6"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F42B2F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0CD8DD1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1969</w:t>
            </w:r>
          </w:p>
        </w:tc>
        <w:tc>
          <w:tcPr>
            <w:tcW w:w="1134" w:type="dxa"/>
            <w:tcBorders>
              <w:top w:val="nil"/>
              <w:left w:val="nil"/>
              <w:bottom w:val="single" w:sz="8" w:space="0" w:color="auto"/>
              <w:right w:val="single" w:sz="8" w:space="0" w:color="auto"/>
            </w:tcBorders>
            <w:shd w:val="clear" w:color="auto" w:fill="auto"/>
            <w:vAlign w:val="bottom"/>
            <w:hideMark/>
          </w:tcPr>
          <w:p w14:paraId="76A58A2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10707</w:t>
            </w:r>
          </w:p>
        </w:tc>
        <w:tc>
          <w:tcPr>
            <w:tcW w:w="1134" w:type="dxa"/>
            <w:tcBorders>
              <w:top w:val="nil"/>
              <w:left w:val="nil"/>
              <w:bottom w:val="single" w:sz="8" w:space="0" w:color="auto"/>
              <w:right w:val="single" w:sz="8" w:space="0" w:color="auto"/>
            </w:tcBorders>
            <w:shd w:val="clear" w:color="auto" w:fill="auto"/>
            <w:noWrap/>
            <w:vAlign w:val="bottom"/>
            <w:hideMark/>
          </w:tcPr>
          <w:p w14:paraId="47B1BDC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C91</w:t>
            </w:r>
          </w:p>
        </w:tc>
      </w:tr>
      <w:tr w:rsidR="001D0CB2" w14:paraId="2B35F462"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31CC62A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08F1B73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1967</w:t>
            </w:r>
          </w:p>
        </w:tc>
        <w:tc>
          <w:tcPr>
            <w:tcW w:w="1134" w:type="dxa"/>
            <w:tcBorders>
              <w:top w:val="nil"/>
              <w:left w:val="nil"/>
              <w:bottom w:val="single" w:sz="8" w:space="0" w:color="auto"/>
              <w:right w:val="single" w:sz="8" w:space="0" w:color="auto"/>
            </w:tcBorders>
            <w:shd w:val="clear" w:color="auto" w:fill="auto"/>
            <w:vAlign w:val="bottom"/>
            <w:hideMark/>
          </w:tcPr>
          <w:p w14:paraId="3C0DF62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10717</w:t>
            </w:r>
          </w:p>
        </w:tc>
        <w:tc>
          <w:tcPr>
            <w:tcW w:w="1134" w:type="dxa"/>
            <w:tcBorders>
              <w:top w:val="nil"/>
              <w:left w:val="nil"/>
              <w:bottom w:val="single" w:sz="8" w:space="0" w:color="auto"/>
              <w:right w:val="single" w:sz="8" w:space="0" w:color="auto"/>
            </w:tcBorders>
            <w:shd w:val="clear" w:color="auto" w:fill="auto"/>
            <w:noWrap/>
            <w:vAlign w:val="bottom"/>
            <w:hideMark/>
          </w:tcPr>
          <w:p w14:paraId="7EA8C26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w:t>
            </w:r>
          </w:p>
        </w:tc>
      </w:tr>
      <w:tr w:rsidR="001D0CB2" w14:paraId="45A94729"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4FED11D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69" w:type="dxa"/>
            <w:tcBorders>
              <w:top w:val="nil"/>
              <w:left w:val="nil"/>
              <w:bottom w:val="single" w:sz="8" w:space="0" w:color="auto"/>
              <w:right w:val="single" w:sz="8" w:space="0" w:color="auto"/>
            </w:tcBorders>
            <w:shd w:val="clear" w:color="auto" w:fill="auto"/>
            <w:vAlign w:val="bottom"/>
            <w:hideMark/>
          </w:tcPr>
          <w:p w14:paraId="54D3495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1991</w:t>
            </w:r>
          </w:p>
        </w:tc>
        <w:tc>
          <w:tcPr>
            <w:tcW w:w="1134" w:type="dxa"/>
            <w:tcBorders>
              <w:top w:val="nil"/>
              <w:left w:val="nil"/>
              <w:bottom w:val="single" w:sz="8" w:space="0" w:color="auto"/>
              <w:right w:val="single" w:sz="8" w:space="0" w:color="auto"/>
            </w:tcBorders>
            <w:shd w:val="clear" w:color="auto" w:fill="auto"/>
            <w:vAlign w:val="bottom"/>
            <w:hideMark/>
          </w:tcPr>
          <w:p w14:paraId="48B06FD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10717</w:t>
            </w:r>
          </w:p>
        </w:tc>
        <w:tc>
          <w:tcPr>
            <w:tcW w:w="1134" w:type="dxa"/>
            <w:tcBorders>
              <w:top w:val="nil"/>
              <w:left w:val="nil"/>
              <w:bottom w:val="single" w:sz="8" w:space="0" w:color="auto"/>
              <w:right w:val="single" w:sz="8" w:space="0" w:color="auto"/>
            </w:tcBorders>
            <w:shd w:val="clear" w:color="auto" w:fill="auto"/>
            <w:noWrap/>
            <w:vAlign w:val="bottom"/>
            <w:hideMark/>
          </w:tcPr>
          <w:p w14:paraId="33BF1C3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w:t>
            </w:r>
          </w:p>
        </w:tc>
      </w:tr>
      <w:tr w:rsidR="001D0CB2" w14:paraId="2D8DADE7"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BD50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68C90F7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1987</w:t>
            </w:r>
          </w:p>
        </w:tc>
        <w:tc>
          <w:tcPr>
            <w:tcW w:w="1134" w:type="dxa"/>
            <w:tcBorders>
              <w:top w:val="nil"/>
              <w:left w:val="nil"/>
              <w:bottom w:val="single" w:sz="8" w:space="0" w:color="auto"/>
              <w:right w:val="single" w:sz="8" w:space="0" w:color="auto"/>
            </w:tcBorders>
            <w:shd w:val="clear" w:color="auto" w:fill="auto"/>
            <w:vAlign w:val="bottom"/>
            <w:hideMark/>
          </w:tcPr>
          <w:p w14:paraId="046232F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10787</w:t>
            </w:r>
          </w:p>
        </w:tc>
        <w:tc>
          <w:tcPr>
            <w:tcW w:w="1134" w:type="dxa"/>
            <w:tcBorders>
              <w:top w:val="nil"/>
              <w:left w:val="nil"/>
              <w:bottom w:val="single" w:sz="8" w:space="0" w:color="auto"/>
              <w:right w:val="single" w:sz="8" w:space="0" w:color="auto"/>
            </w:tcBorders>
            <w:shd w:val="clear" w:color="auto" w:fill="auto"/>
            <w:noWrap/>
            <w:vAlign w:val="bottom"/>
            <w:hideMark/>
          </w:tcPr>
          <w:p w14:paraId="464A5AE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1833F123"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2F553EE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745BD2E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1983</w:t>
            </w:r>
          </w:p>
        </w:tc>
        <w:tc>
          <w:tcPr>
            <w:tcW w:w="1134" w:type="dxa"/>
            <w:tcBorders>
              <w:top w:val="nil"/>
              <w:left w:val="nil"/>
              <w:bottom w:val="single" w:sz="8" w:space="0" w:color="auto"/>
              <w:right w:val="single" w:sz="8" w:space="0" w:color="auto"/>
            </w:tcBorders>
            <w:shd w:val="clear" w:color="auto" w:fill="auto"/>
            <w:vAlign w:val="bottom"/>
            <w:hideMark/>
          </w:tcPr>
          <w:p w14:paraId="01B7BD3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10827</w:t>
            </w:r>
          </w:p>
        </w:tc>
        <w:tc>
          <w:tcPr>
            <w:tcW w:w="1134" w:type="dxa"/>
            <w:tcBorders>
              <w:top w:val="nil"/>
              <w:left w:val="nil"/>
              <w:bottom w:val="single" w:sz="8" w:space="0" w:color="auto"/>
              <w:right w:val="single" w:sz="8" w:space="0" w:color="auto"/>
            </w:tcBorders>
            <w:shd w:val="clear" w:color="auto" w:fill="auto"/>
            <w:noWrap/>
            <w:vAlign w:val="bottom"/>
            <w:hideMark/>
          </w:tcPr>
          <w:p w14:paraId="00E2CF36"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5F491BAA" w14:textId="77777777" w:rsidTr="00D8462D">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1BB67DC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69" w:type="dxa"/>
            <w:tcBorders>
              <w:top w:val="nil"/>
              <w:left w:val="nil"/>
              <w:bottom w:val="single" w:sz="8" w:space="0" w:color="auto"/>
              <w:right w:val="single" w:sz="8" w:space="0" w:color="auto"/>
            </w:tcBorders>
            <w:shd w:val="clear" w:color="auto" w:fill="auto"/>
            <w:vAlign w:val="bottom"/>
            <w:hideMark/>
          </w:tcPr>
          <w:p w14:paraId="4303757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1975</w:t>
            </w:r>
          </w:p>
        </w:tc>
        <w:tc>
          <w:tcPr>
            <w:tcW w:w="1134" w:type="dxa"/>
            <w:tcBorders>
              <w:top w:val="nil"/>
              <w:left w:val="nil"/>
              <w:bottom w:val="single" w:sz="8" w:space="0" w:color="auto"/>
              <w:right w:val="single" w:sz="8" w:space="0" w:color="auto"/>
            </w:tcBorders>
            <w:shd w:val="clear" w:color="auto" w:fill="auto"/>
            <w:vAlign w:val="bottom"/>
            <w:hideMark/>
          </w:tcPr>
          <w:p w14:paraId="76BD46A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10963</w:t>
            </w:r>
          </w:p>
        </w:tc>
        <w:tc>
          <w:tcPr>
            <w:tcW w:w="1134" w:type="dxa"/>
            <w:tcBorders>
              <w:top w:val="nil"/>
              <w:left w:val="nil"/>
              <w:bottom w:val="single" w:sz="8" w:space="0" w:color="auto"/>
              <w:right w:val="single" w:sz="8" w:space="0" w:color="auto"/>
            </w:tcBorders>
            <w:shd w:val="clear" w:color="auto" w:fill="auto"/>
            <w:noWrap/>
            <w:vAlign w:val="bottom"/>
            <w:hideMark/>
          </w:tcPr>
          <w:p w14:paraId="564CE70F"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w:t>
            </w:r>
          </w:p>
        </w:tc>
      </w:tr>
    </w:tbl>
    <w:p w14:paraId="12B73435" w14:textId="77777777" w:rsidR="001D0CB2" w:rsidRDefault="00E27FE2">
      <w:pPr>
        <w:pStyle w:val="Beschriftung"/>
        <w:rPr>
          <w:noProof/>
        </w:rPr>
      </w:pPr>
      <w:bookmarkStart w:id="94" w:name="_Toc517507999"/>
      <w:r>
        <w:t xml:space="preserve">Tabelle </w:t>
      </w:r>
      <w:fldSimple w:instr=" SEQ Tabelle \* ARABIC ">
        <w:r w:rsidR="00072F0D">
          <w:rPr>
            <w:noProof/>
          </w:rPr>
          <w:t>2</w:t>
        </w:r>
      </w:fldSimple>
      <w:r>
        <w:t>:</w:t>
      </w:r>
      <w:r>
        <w:rPr>
          <w:noProof/>
        </w:rPr>
        <w:t xml:space="preserve"> Entpersonalisierung von Daten durch Nutzung der Methode der Nichtangabe</w:t>
      </w:r>
      <w:bookmarkEnd w:id="94"/>
    </w:p>
    <w:p w14:paraId="195A9ADD" w14:textId="03B198FF" w:rsidR="001D0CB2" w:rsidRDefault="00E27FE2">
      <w:pPr>
        <w:spacing w:after="0"/>
      </w:pPr>
      <w:r>
        <w:t xml:space="preserve">Allerdings muss man dabei darauf achten, dass sich durch Nichtangabe von Teilbereichen auch die Information selbst ändert. So kann bspw. die Verringerung des Wertes des </w:t>
      </w:r>
      <w:r w:rsidRPr="006C6D59">
        <w:t>ICD</w:t>
      </w:r>
      <w:r>
        <w:t xml:space="preserve"> im obigen Beispiel zu einer ggf. nicht unerheblichen Änderung der Diagnosen führen</w:t>
      </w:r>
      <w:r w:rsidR="00FD7008">
        <w:t>:</w:t>
      </w:r>
    </w:p>
    <w:tbl>
      <w:tblPr>
        <w:tblW w:w="9087" w:type="dxa"/>
        <w:tblInd w:w="55" w:type="dxa"/>
        <w:tblLayout w:type="fixed"/>
        <w:tblCellMar>
          <w:left w:w="70" w:type="dxa"/>
          <w:right w:w="70" w:type="dxa"/>
        </w:tblCellMar>
        <w:tblLook w:val="04A0" w:firstRow="1" w:lastRow="0" w:firstColumn="1" w:lastColumn="0" w:noHBand="0" w:noVBand="1"/>
      </w:tblPr>
      <w:tblGrid>
        <w:gridCol w:w="724"/>
        <w:gridCol w:w="4111"/>
        <w:gridCol w:w="283"/>
        <w:gridCol w:w="3261"/>
        <w:gridCol w:w="708"/>
      </w:tblGrid>
      <w:tr w:rsidR="001D0CB2" w14:paraId="012CC3D1" w14:textId="77777777">
        <w:trPr>
          <w:trHeight w:val="315"/>
          <w:tblHeader/>
        </w:trPr>
        <w:tc>
          <w:tcPr>
            <w:tcW w:w="4835" w:type="dxa"/>
            <w:gridSpan w:val="2"/>
            <w:tcBorders>
              <w:top w:val="nil"/>
              <w:left w:val="nil"/>
              <w:bottom w:val="single" w:sz="8" w:space="0" w:color="auto"/>
              <w:right w:val="nil"/>
            </w:tcBorders>
            <w:shd w:val="clear" w:color="auto" w:fill="auto"/>
            <w:vAlign w:val="center"/>
            <w:hideMark/>
          </w:tcPr>
          <w:p w14:paraId="43F3E04F" w14:textId="77777777" w:rsidR="001D0CB2" w:rsidRDefault="00E27FE2">
            <w:pPr>
              <w:spacing w:after="0" w:line="240" w:lineRule="auto"/>
              <w:jc w:val="center"/>
              <w:rPr>
                <w:rFonts w:ascii="Calibri" w:eastAsia="Times New Roman" w:hAnsi="Calibri" w:cs="Times New Roman"/>
                <w:b/>
                <w:bCs/>
                <w:color w:val="000000"/>
                <w:sz w:val="24"/>
                <w:szCs w:val="24"/>
                <w:lang w:eastAsia="de-DE"/>
              </w:rPr>
            </w:pPr>
            <w:r>
              <w:rPr>
                <w:rFonts w:ascii="Calibri" w:eastAsia="Times New Roman" w:hAnsi="Calibri" w:cs="Times New Roman"/>
                <w:b/>
                <w:bCs/>
                <w:color w:val="000000"/>
                <w:sz w:val="24"/>
                <w:szCs w:val="24"/>
                <w:lang w:eastAsia="de-DE"/>
              </w:rPr>
              <w:t>Original</w:t>
            </w:r>
          </w:p>
        </w:tc>
        <w:tc>
          <w:tcPr>
            <w:tcW w:w="283" w:type="dxa"/>
            <w:tcBorders>
              <w:top w:val="nil"/>
              <w:left w:val="nil"/>
              <w:bottom w:val="nil"/>
              <w:right w:val="nil"/>
            </w:tcBorders>
            <w:shd w:val="clear" w:color="auto" w:fill="auto"/>
            <w:noWrap/>
            <w:vAlign w:val="bottom"/>
            <w:hideMark/>
          </w:tcPr>
          <w:p w14:paraId="7DF1103C" w14:textId="77777777" w:rsidR="001D0CB2" w:rsidRDefault="001D0CB2">
            <w:pPr>
              <w:spacing w:after="0" w:line="240" w:lineRule="auto"/>
              <w:jc w:val="left"/>
              <w:rPr>
                <w:rFonts w:ascii="Calibri" w:eastAsia="Times New Roman" w:hAnsi="Calibri" w:cs="Times New Roman"/>
                <w:color w:val="000000"/>
                <w:lang w:eastAsia="de-DE"/>
              </w:rPr>
            </w:pPr>
          </w:p>
        </w:tc>
        <w:tc>
          <w:tcPr>
            <w:tcW w:w="3969" w:type="dxa"/>
            <w:gridSpan w:val="2"/>
            <w:tcBorders>
              <w:top w:val="nil"/>
              <w:left w:val="nil"/>
              <w:bottom w:val="single" w:sz="8" w:space="0" w:color="auto"/>
              <w:right w:val="nil"/>
            </w:tcBorders>
            <w:shd w:val="clear" w:color="auto" w:fill="auto"/>
            <w:vAlign w:val="center"/>
            <w:hideMark/>
          </w:tcPr>
          <w:p w14:paraId="2408D053" w14:textId="77777777" w:rsidR="001D0CB2" w:rsidRDefault="00E27FE2">
            <w:pPr>
              <w:spacing w:after="0" w:line="240" w:lineRule="auto"/>
              <w:jc w:val="center"/>
              <w:rPr>
                <w:rFonts w:ascii="Calibri" w:eastAsia="Times New Roman" w:hAnsi="Calibri" w:cs="Times New Roman"/>
                <w:b/>
                <w:bCs/>
                <w:color w:val="000000"/>
                <w:sz w:val="24"/>
                <w:szCs w:val="24"/>
                <w:lang w:eastAsia="de-DE"/>
              </w:rPr>
            </w:pPr>
            <w:r>
              <w:rPr>
                <w:rFonts w:ascii="Calibri" w:eastAsia="Times New Roman" w:hAnsi="Calibri" w:cs="Times New Roman"/>
                <w:b/>
                <w:bCs/>
                <w:color w:val="000000"/>
                <w:sz w:val="24"/>
                <w:szCs w:val="24"/>
                <w:lang w:eastAsia="de-DE"/>
              </w:rPr>
              <w:t>Nichtangabe</w:t>
            </w:r>
          </w:p>
        </w:tc>
      </w:tr>
      <w:tr w:rsidR="001D0CB2" w14:paraId="04AFD068" w14:textId="77777777">
        <w:trPr>
          <w:trHeight w:val="315"/>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14:paraId="2D60DD3A"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c>
          <w:tcPr>
            <w:tcW w:w="4111" w:type="dxa"/>
            <w:tcBorders>
              <w:top w:val="nil"/>
              <w:left w:val="nil"/>
              <w:bottom w:val="single" w:sz="8" w:space="0" w:color="auto"/>
              <w:right w:val="single" w:sz="8" w:space="0" w:color="auto"/>
            </w:tcBorders>
            <w:shd w:val="clear" w:color="auto" w:fill="auto"/>
            <w:noWrap/>
            <w:vAlign w:val="center"/>
            <w:hideMark/>
          </w:tcPr>
          <w:p w14:paraId="7813CBAA"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Diagnose</w:t>
            </w:r>
          </w:p>
        </w:tc>
        <w:tc>
          <w:tcPr>
            <w:tcW w:w="283" w:type="dxa"/>
            <w:tcBorders>
              <w:top w:val="nil"/>
              <w:left w:val="nil"/>
              <w:bottom w:val="nil"/>
              <w:right w:val="nil"/>
            </w:tcBorders>
            <w:shd w:val="clear" w:color="auto" w:fill="auto"/>
            <w:noWrap/>
            <w:vAlign w:val="center"/>
            <w:hideMark/>
          </w:tcPr>
          <w:p w14:paraId="2A793D0C" w14:textId="77777777" w:rsidR="001D0CB2" w:rsidRDefault="001D0CB2">
            <w:pPr>
              <w:spacing w:after="0" w:line="240" w:lineRule="auto"/>
              <w:jc w:val="center"/>
              <w:rPr>
                <w:rFonts w:ascii="Calibri" w:eastAsia="Times New Roman" w:hAnsi="Calibri" w:cs="Times New Roman"/>
                <w:b/>
                <w:bCs/>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0827B008"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Diagnose</w:t>
            </w:r>
          </w:p>
        </w:tc>
        <w:tc>
          <w:tcPr>
            <w:tcW w:w="708" w:type="dxa"/>
            <w:tcBorders>
              <w:top w:val="nil"/>
              <w:left w:val="nil"/>
              <w:bottom w:val="single" w:sz="8" w:space="0" w:color="auto"/>
              <w:right w:val="single" w:sz="8" w:space="0" w:color="auto"/>
            </w:tcBorders>
            <w:shd w:val="clear" w:color="auto" w:fill="auto"/>
            <w:noWrap/>
            <w:vAlign w:val="center"/>
            <w:hideMark/>
          </w:tcPr>
          <w:p w14:paraId="7598DEFF"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r>
      <w:tr w:rsidR="001D0CB2" w14:paraId="0D12F283"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67DACB5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C16.3</w:t>
            </w:r>
          </w:p>
        </w:tc>
        <w:tc>
          <w:tcPr>
            <w:tcW w:w="4111" w:type="dxa"/>
            <w:tcBorders>
              <w:top w:val="nil"/>
              <w:left w:val="nil"/>
              <w:bottom w:val="single" w:sz="8" w:space="0" w:color="auto"/>
              <w:right w:val="single" w:sz="8" w:space="0" w:color="auto"/>
            </w:tcBorders>
            <w:shd w:val="clear" w:color="auto" w:fill="auto"/>
            <w:noWrap/>
            <w:hideMark/>
          </w:tcPr>
          <w:p w14:paraId="4FB6E2B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Bösartige Neubildung: </w:t>
            </w:r>
            <w:proofErr w:type="spellStart"/>
            <w:r>
              <w:rPr>
                <w:rFonts w:ascii="Calibri" w:eastAsia="Times New Roman" w:hAnsi="Calibri" w:cs="Times New Roman"/>
                <w:color w:val="000000"/>
                <w:lang w:eastAsia="de-DE"/>
              </w:rPr>
              <w:t>Antrum</w:t>
            </w:r>
            <w:proofErr w:type="spellEnd"/>
            <w:r>
              <w:rPr>
                <w:rFonts w:ascii="Calibri" w:eastAsia="Times New Roman" w:hAnsi="Calibri" w:cs="Times New Roman"/>
                <w:color w:val="000000"/>
                <w:lang w:eastAsia="de-DE"/>
              </w:rPr>
              <w:t xml:space="preserve"> </w:t>
            </w:r>
            <w:proofErr w:type="spellStart"/>
            <w:r w:rsidRPr="006C6D59">
              <w:rPr>
                <w:rFonts w:ascii="Calibri" w:eastAsia="Times New Roman" w:hAnsi="Calibri" w:cs="Times New Roman"/>
                <w:color w:val="000000"/>
                <w:lang w:eastAsia="de-DE"/>
              </w:rPr>
              <w:t>pyloricum</w:t>
            </w:r>
            <w:proofErr w:type="spellEnd"/>
          </w:p>
        </w:tc>
        <w:tc>
          <w:tcPr>
            <w:tcW w:w="283" w:type="dxa"/>
            <w:tcBorders>
              <w:top w:val="nil"/>
              <w:left w:val="nil"/>
              <w:bottom w:val="nil"/>
              <w:right w:val="nil"/>
            </w:tcBorders>
            <w:shd w:val="clear" w:color="auto" w:fill="auto"/>
            <w:noWrap/>
            <w:hideMark/>
          </w:tcPr>
          <w:p w14:paraId="3623EC08"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1B22C42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Bösartige Neubildung des Magens</w:t>
            </w:r>
          </w:p>
        </w:tc>
        <w:tc>
          <w:tcPr>
            <w:tcW w:w="708" w:type="dxa"/>
            <w:tcBorders>
              <w:top w:val="nil"/>
              <w:left w:val="nil"/>
              <w:bottom w:val="single" w:sz="8" w:space="0" w:color="auto"/>
              <w:right w:val="single" w:sz="8" w:space="0" w:color="auto"/>
            </w:tcBorders>
            <w:shd w:val="clear" w:color="auto" w:fill="auto"/>
            <w:noWrap/>
            <w:hideMark/>
          </w:tcPr>
          <w:p w14:paraId="1FCCC0F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w:t>
            </w:r>
          </w:p>
        </w:tc>
      </w:tr>
      <w:tr w:rsidR="001D0CB2" w14:paraId="75906AE0"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2AEE42F7"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C18.4</w:t>
            </w:r>
          </w:p>
        </w:tc>
        <w:tc>
          <w:tcPr>
            <w:tcW w:w="4111" w:type="dxa"/>
            <w:tcBorders>
              <w:top w:val="nil"/>
              <w:left w:val="nil"/>
              <w:bottom w:val="single" w:sz="8" w:space="0" w:color="auto"/>
              <w:right w:val="single" w:sz="8" w:space="0" w:color="auto"/>
            </w:tcBorders>
            <w:shd w:val="clear" w:color="auto" w:fill="auto"/>
            <w:noWrap/>
            <w:hideMark/>
          </w:tcPr>
          <w:p w14:paraId="118BBA2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Bösartige Neubildung: </w:t>
            </w:r>
            <w:proofErr w:type="spellStart"/>
            <w:r>
              <w:rPr>
                <w:rFonts w:ascii="Calibri" w:eastAsia="Times New Roman" w:hAnsi="Calibri" w:cs="Times New Roman"/>
                <w:color w:val="000000"/>
                <w:lang w:eastAsia="de-DE"/>
              </w:rPr>
              <w:t>Colon</w:t>
            </w:r>
            <w:proofErr w:type="spellEnd"/>
            <w:r>
              <w:rPr>
                <w:rFonts w:ascii="Calibri" w:eastAsia="Times New Roman" w:hAnsi="Calibri" w:cs="Times New Roman"/>
                <w:color w:val="000000"/>
                <w:lang w:eastAsia="de-DE"/>
              </w:rPr>
              <w:t xml:space="preserve"> </w:t>
            </w:r>
            <w:proofErr w:type="spellStart"/>
            <w:r w:rsidRPr="006C6D59">
              <w:rPr>
                <w:rFonts w:ascii="Calibri" w:eastAsia="Times New Roman" w:hAnsi="Calibri" w:cs="Times New Roman"/>
                <w:color w:val="000000"/>
                <w:lang w:eastAsia="de-DE"/>
              </w:rPr>
              <w:t>transversum</w:t>
            </w:r>
            <w:proofErr w:type="spellEnd"/>
          </w:p>
        </w:tc>
        <w:tc>
          <w:tcPr>
            <w:tcW w:w="283" w:type="dxa"/>
            <w:tcBorders>
              <w:top w:val="nil"/>
              <w:left w:val="nil"/>
              <w:bottom w:val="nil"/>
              <w:right w:val="nil"/>
            </w:tcBorders>
            <w:shd w:val="clear" w:color="auto" w:fill="auto"/>
            <w:noWrap/>
            <w:hideMark/>
          </w:tcPr>
          <w:p w14:paraId="38702089"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409D097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Bösartige Neubildung des Kolons</w:t>
            </w:r>
          </w:p>
        </w:tc>
        <w:tc>
          <w:tcPr>
            <w:tcW w:w="708" w:type="dxa"/>
            <w:tcBorders>
              <w:top w:val="nil"/>
              <w:left w:val="nil"/>
              <w:bottom w:val="single" w:sz="8" w:space="0" w:color="auto"/>
              <w:right w:val="single" w:sz="8" w:space="0" w:color="auto"/>
            </w:tcBorders>
            <w:shd w:val="clear" w:color="auto" w:fill="auto"/>
            <w:noWrap/>
            <w:hideMark/>
          </w:tcPr>
          <w:p w14:paraId="638161C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w:t>
            </w:r>
          </w:p>
        </w:tc>
      </w:tr>
      <w:tr w:rsidR="001D0CB2" w14:paraId="021B7FAE"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406108F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C50.1</w:t>
            </w:r>
          </w:p>
        </w:tc>
        <w:tc>
          <w:tcPr>
            <w:tcW w:w="4111" w:type="dxa"/>
            <w:tcBorders>
              <w:top w:val="nil"/>
              <w:left w:val="nil"/>
              <w:bottom w:val="single" w:sz="8" w:space="0" w:color="auto"/>
              <w:right w:val="single" w:sz="8" w:space="0" w:color="auto"/>
            </w:tcBorders>
            <w:shd w:val="clear" w:color="auto" w:fill="auto"/>
            <w:noWrap/>
            <w:hideMark/>
          </w:tcPr>
          <w:p w14:paraId="65A0B8E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Bösartige Neubildung: </w:t>
            </w:r>
            <w:r w:rsidRPr="00F215B1">
              <w:rPr>
                <w:rFonts w:ascii="Calibri" w:eastAsia="Times New Roman" w:hAnsi="Calibri" w:cs="Times New Roman"/>
                <w:color w:val="000000"/>
                <w:lang w:eastAsia="de-DE"/>
              </w:rPr>
              <w:t>Zentraler</w:t>
            </w:r>
            <w:r>
              <w:rPr>
                <w:rFonts w:ascii="Calibri" w:eastAsia="Times New Roman" w:hAnsi="Calibri" w:cs="Times New Roman"/>
                <w:color w:val="000000"/>
                <w:lang w:eastAsia="de-DE"/>
              </w:rPr>
              <w:t xml:space="preserve"> Drüsenkörper der Brustdrüse</w:t>
            </w:r>
          </w:p>
        </w:tc>
        <w:tc>
          <w:tcPr>
            <w:tcW w:w="283" w:type="dxa"/>
            <w:tcBorders>
              <w:top w:val="nil"/>
              <w:left w:val="nil"/>
              <w:bottom w:val="nil"/>
              <w:right w:val="nil"/>
            </w:tcBorders>
            <w:shd w:val="clear" w:color="auto" w:fill="auto"/>
            <w:noWrap/>
            <w:hideMark/>
          </w:tcPr>
          <w:p w14:paraId="61E15379"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1C4C2A9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Bösartige Neubildung der Brustdrüse</w:t>
            </w:r>
          </w:p>
        </w:tc>
        <w:tc>
          <w:tcPr>
            <w:tcW w:w="708" w:type="dxa"/>
            <w:tcBorders>
              <w:top w:val="nil"/>
              <w:left w:val="nil"/>
              <w:bottom w:val="single" w:sz="8" w:space="0" w:color="auto"/>
              <w:right w:val="single" w:sz="8" w:space="0" w:color="auto"/>
            </w:tcBorders>
            <w:shd w:val="clear" w:color="auto" w:fill="auto"/>
            <w:noWrap/>
            <w:hideMark/>
          </w:tcPr>
          <w:p w14:paraId="310AB055"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0CBCB9D7"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73FDDEAB"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C50.3</w:t>
            </w:r>
          </w:p>
        </w:tc>
        <w:tc>
          <w:tcPr>
            <w:tcW w:w="4111" w:type="dxa"/>
            <w:tcBorders>
              <w:top w:val="nil"/>
              <w:left w:val="nil"/>
              <w:bottom w:val="single" w:sz="8" w:space="0" w:color="auto"/>
              <w:right w:val="single" w:sz="8" w:space="0" w:color="auto"/>
            </w:tcBorders>
            <w:shd w:val="clear" w:color="auto" w:fill="auto"/>
            <w:noWrap/>
            <w:hideMark/>
          </w:tcPr>
          <w:p w14:paraId="6D54499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Bösartige Neubildung unterer innerer Quadrant Brustdrüse</w:t>
            </w:r>
          </w:p>
        </w:tc>
        <w:tc>
          <w:tcPr>
            <w:tcW w:w="283" w:type="dxa"/>
            <w:tcBorders>
              <w:top w:val="nil"/>
              <w:left w:val="nil"/>
              <w:bottom w:val="nil"/>
              <w:right w:val="nil"/>
            </w:tcBorders>
            <w:shd w:val="clear" w:color="auto" w:fill="auto"/>
            <w:noWrap/>
            <w:hideMark/>
          </w:tcPr>
          <w:p w14:paraId="55994123"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7364B69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Bösartige Neubildung der Brustdrüse</w:t>
            </w:r>
          </w:p>
        </w:tc>
        <w:tc>
          <w:tcPr>
            <w:tcW w:w="708" w:type="dxa"/>
            <w:tcBorders>
              <w:top w:val="nil"/>
              <w:left w:val="nil"/>
              <w:bottom w:val="single" w:sz="8" w:space="0" w:color="auto"/>
              <w:right w:val="single" w:sz="8" w:space="0" w:color="auto"/>
            </w:tcBorders>
            <w:shd w:val="clear" w:color="auto" w:fill="auto"/>
            <w:noWrap/>
            <w:hideMark/>
          </w:tcPr>
          <w:p w14:paraId="79BE1872"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69917E0C"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3F321A4A"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C83.0</w:t>
            </w:r>
          </w:p>
        </w:tc>
        <w:tc>
          <w:tcPr>
            <w:tcW w:w="4111" w:type="dxa"/>
            <w:tcBorders>
              <w:top w:val="nil"/>
              <w:left w:val="nil"/>
              <w:bottom w:val="single" w:sz="8" w:space="0" w:color="auto"/>
              <w:right w:val="single" w:sz="8" w:space="0" w:color="auto"/>
            </w:tcBorders>
            <w:shd w:val="clear" w:color="auto" w:fill="auto"/>
            <w:noWrap/>
            <w:hideMark/>
          </w:tcPr>
          <w:p w14:paraId="002750A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Non-Hodgkin-Lymphom: </w:t>
            </w:r>
            <w:r w:rsidRPr="00F215B1">
              <w:rPr>
                <w:rFonts w:ascii="Calibri" w:eastAsia="Times New Roman" w:hAnsi="Calibri" w:cs="Times New Roman"/>
                <w:color w:val="000000"/>
                <w:lang w:eastAsia="de-DE"/>
              </w:rPr>
              <w:t>Kleinzellig</w:t>
            </w:r>
            <w:r>
              <w:rPr>
                <w:rFonts w:ascii="Calibri" w:eastAsia="Times New Roman" w:hAnsi="Calibri" w:cs="Times New Roman"/>
                <w:color w:val="000000"/>
                <w:lang w:eastAsia="de-DE"/>
              </w:rPr>
              <w:t xml:space="preserve"> (diffus)</w:t>
            </w:r>
          </w:p>
        </w:tc>
        <w:tc>
          <w:tcPr>
            <w:tcW w:w="283" w:type="dxa"/>
            <w:tcBorders>
              <w:top w:val="nil"/>
              <w:left w:val="nil"/>
              <w:bottom w:val="nil"/>
              <w:right w:val="nil"/>
            </w:tcBorders>
            <w:shd w:val="clear" w:color="auto" w:fill="auto"/>
            <w:noWrap/>
            <w:hideMark/>
          </w:tcPr>
          <w:p w14:paraId="7F4E640B"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7D60F57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Nicht follikuläres Lymphom</w:t>
            </w:r>
          </w:p>
        </w:tc>
        <w:tc>
          <w:tcPr>
            <w:tcW w:w="708" w:type="dxa"/>
            <w:tcBorders>
              <w:top w:val="nil"/>
              <w:left w:val="nil"/>
              <w:bottom w:val="single" w:sz="8" w:space="0" w:color="auto"/>
              <w:right w:val="single" w:sz="8" w:space="0" w:color="auto"/>
            </w:tcBorders>
            <w:shd w:val="clear" w:color="auto" w:fill="auto"/>
            <w:noWrap/>
            <w:hideMark/>
          </w:tcPr>
          <w:p w14:paraId="0BB63EBD"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w:t>
            </w:r>
          </w:p>
        </w:tc>
      </w:tr>
      <w:tr w:rsidR="001D0CB2" w14:paraId="0BD80AA1"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0D9D84B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D12.6</w:t>
            </w:r>
          </w:p>
        </w:tc>
        <w:tc>
          <w:tcPr>
            <w:tcW w:w="4111" w:type="dxa"/>
            <w:tcBorders>
              <w:top w:val="nil"/>
              <w:left w:val="nil"/>
              <w:bottom w:val="single" w:sz="8" w:space="0" w:color="auto"/>
              <w:right w:val="single" w:sz="8" w:space="0" w:color="auto"/>
            </w:tcBorders>
            <w:shd w:val="clear" w:color="auto" w:fill="auto"/>
            <w:noWrap/>
            <w:hideMark/>
          </w:tcPr>
          <w:p w14:paraId="6EF8A7E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Gutartige Neubildung: Kolon, nicht näher </w:t>
            </w:r>
            <w:r w:rsidRPr="00F215B1">
              <w:rPr>
                <w:rFonts w:ascii="Calibri" w:eastAsia="Times New Roman" w:hAnsi="Calibri" w:cs="Times New Roman"/>
                <w:color w:val="000000"/>
                <w:lang w:eastAsia="de-DE"/>
              </w:rPr>
              <w:t>bezeichnet</w:t>
            </w:r>
          </w:p>
        </w:tc>
        <w:tc>
          <w:tcPr>
            <w:tcW w:w="283" w:type="dxa"/>
            <w:tcBorders>
              <w:top w:val="nil"/>
              <w:left w:val="nil"/>
              <w:bottom w:val="nil"/>
              <w:right w:val="nil"/>
            </w:tcBorders>
            <w:shd w:val="clear" w:color="auto" w:fill="auto"/>
            <w:noWrap/>
            <w:hideMark/>
          </w:tcPr>
          <w:p w14:paraId="544E6A2A"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5F4BA2E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Gutartige Neubildung des Kolons, des Rektums, des Analkanals und des Anus</w:t>
            </w:r>
          </w:p>
        </w:tc>
        <w:tc>
          <w:tcPr>
            <w:tcW w:w="708" w:type="dxa"/>
            <w:tcBorders>
              <w:top w:val="nil"/>
              <w:left w:val="nil"/>
              <w:bottom w:val="single" w:sz="8" w:space="0" w:color="auto"/>
              <w:right w:val="single" w:sz="8" w:space="0" w:color="auto"/>
            </w:tcBorders>
            <w:shd w:val="clear" w:color="auto" w:fill="auto"/>
            <w:noWrap/>
            <w:hideMark/>
          </w:tcPr>
          <w:p w14:paraId="73B542FE"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w:t>
            </w:r>
          </w:p>
        </w:tc>
      </w:tr>
      <w:tr w:rsidR="001D0CB2" w14:paraId="4460F160" w14:textId="77777777">
        <w:trPr>
          <w:trHeight w:val="315"/>
        </w:trPr>
        <w:tc>
          <w:tcPr>
            <w:tcW w:w="724" w:type="dxa"/>
            <w:tcBorders>
              <w:top w:val="nil"/>
              <w:left w:val="single" w:sz="8" w:space="0" w:color="auto"/>
              <w:bottom w:val="single" w:sz="8" w:space="0" w:color="auto"/>
              <w:right w:val="single" w:sz="8" w:space="0" w:color="auto"/>
            </w:tcBorders>
            <w:shd w:val="clear" w:color="auto" w:fill="auto"/>
            <w:noWrap/>
            <w:hideMark/>
          </w:tcPr>
          <w:p w14:paraId="7A1C7BCE"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D12.8</w:t>
            </w:r>
          </w:p>
        </w:tc>
        <w:tc>
          <w:tcPr>
            <w:tcW w:w="4111" w:type="dxa"/>
            <w:tcBorders>
              <w:top w:val="nil"/>
              <w:left w:val="nil"/>
              <w:bottom w:val="single" w:sz="8" w:space="0" w:color="auto"/>
              <w:right w:val="single" w:sz="8" w:space="0" w:color="auto"/>
            </w:tcBorders>
            <w:shd w:val="clear" w:color="auto" w:fill="auto"/>
            <w:noWrap/>
            <w:hideMark/>
          </w:tcPr>
          <w:p w14:paraId="31C68C5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Gutartige Neubildung: Rektum</w:t>
            </w:r>
          </w:p>
        </w:tc>
        <w:tc>
          <w:tcPr>
            <w:tcW w:w="283" w:type="dxa"/>
            <w:tcBorders>
              <w:top w:val="nil"/>
              <w:left w:val="nil"/>
              <w:bottom w:val="nil"/>
              <w:right w:val="nil"/>
            </w:tcBorders>
            <w:shd w:val="clear" w:color="auto" w:fill="auto"/>
            <w:noWrap/>
            <w:hideMark/>
          </w:tcPr>
          <w:p w14:paraId="2901CA48" w14:textId="77777777" w:rsidR="001D0CB2" w:rsidRDefault="001D0CB2">
            <w:pPr>
              <w:spacing w:after="0" w:line="240" w:lineRule="auto"/>
              <w:jc w:val="left"/>
              <w:rPr>
                <w:rFonts w:ascii="Calibri" w:eastAsia="Times New Roman" w:hAnsi="Calibri" w:cs="Times New Roman"/>
                <w:color w:val="000000"/>
                <w:lang w:eastAsia="de-DE"/>
              </w:rPr>
            </w:pPr>
          </w:p>
        </w:tc>
        <w:tc>
          <w:tcPr>
            <w:tcW w:w="3261" w:type="dxa"/>
            <w:tcBorders>
              <w:top w:val="nil"/>
              <w:left w:val="single" w:sz="8" w:space="0" w:color="auto"/>
              <w:bottom w:val="single" w:sz="8" w:space="0" w:color="auto"/>
              <w:right w:val="single" w:sz="8" w:space="0" w:color="auto"/>
            </w:tcBorders>
            <w:shd w:val="clear" w:color="auto" w:fill="auto"/>
            <w:noWrap/>
            <w:hideMark/>
          </w:tcPr>
          <w:p w14:paraId="44B9F13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Gutartige Neubildung des Kolons, des Rektums, des Analkanals und des Anus</w:t>
            </w:r>
          </w:p>
        </w:tc>
        <w:tc>
          <w:tcPr>
            <w:tcW w:w="708" w:type="dxa"/>
            <w:tcBorders>
              <w:top w:val="nil"/>
              <w:left w:val="nil"/>
              <w:bottom w:val="single" w:sz="8" w:space="0" w:color="auto"/>
              <w:right w:val="single" w:sz="8" w:space="0" w:color="auto"/>
            </w:tcBorders>
            <w:shd w:val="clear" w:color="auto" w:fill="auto"/>
            <w:noWrap/>
            <w:hideMark/>
          </w:tcPr>
          <w:p w14:paraId="2C689D22"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w:t>
            </w:r>
          </w:p>
        </w:tc>
      </w:tr>
    </w:tbl>
    <w:p w14:paraId="5618C96A" w14:textId="77777777" w:rsidR="001D0CB2" w:rsidRDefault="00E27FE2">
      <w:pPr>
        <w:pStyle w:val="Beschriftung"/>
      </w:pPr>
      <w:bookmarkStart w:id="95" w:name="_Toc517508000"/>
      <w:r>
        <w:t xml:space="preserve">Tabelle </w:t>
      </w:r>
      <w:fldSimple w:instr=" SEQ Tabelle \* ARABIC ">
        <w:r w:rsidR="00072F0D">
          <w:rPr>
            <w:noProof/>
          </w:rPr>
          <w:t>3</w:t>
        </w:r>
      </w:fldSimple>
      <w:r>
        <w:t>:</w:t>
      </w:r>
      <w:r>
        <w:rPr>
          <w:noProof/>
        </w:rPr>
        <w:t xml:space="preserve"> Änderung des Informationswertes einer Diagnose bei Änderung des </w:t>
      </w:r>
      <w:r w:rsidRPr="006C6D59">
        <w:rPr>
          <w:noProof/>
        </w:rPr>
        <w:t>ICD</w:t>
      </w:r>
      <w:r>
        <w:rPr>
          <w:noProof/>
        </w:rPr>
        <w:t xml:space="preserve"> durch Nichtangabe</w:t>
      </w:r>
      <w:bookmarkEnd w:id="95"/>
    </w:p>
    <w:p w14:paraId="03C64700" w14:textId="012EEC9D" w:rsidR="00FD7008" w:rsidRDefault="00FD7008">
      <w:pPr>
        <w:jc w:val="left"/>
      </w:pPr>
      <w:r>
        <w:t>Insofern gilt es die Anwender darüber aufzuklären, dass gewisse Daten verändert wurden:</w:t>
      </w:r>
    </w:p>
    <w:p w14:paraId="0FF3C3AC" w14:textId="44BEC606" w:rsidR="001D0CB2" w:rsidRDefault="00E27FE2">
      <w:pPr>
        <w:pStyle w:val="berschrift3"/>
      </w:pPr>
      <w:bookmarkStart w:id="96" w:name="_Toc517507970"/>
      <w:r>
        <w:t>Maskierung/Ersetzung</w:t>
      </w:r>
      <w:bookmarkEnd w:id="96"/>
    </w:p>
    <w:p w14:paraId="15A660FF" w14:textId="77777777" w:rsidR="001D0CB2" w:rsidRDefault="00E27FE2">
      <w:r>
        <w:t>Zu schützende Daten werden mit einem konstanten oder sich ändernden Wert, Zeichen oder Zeichenkette ersetzt.</w:t>
      </w:r>
    </w:p>
    <w:p w14:paraId="2AE3E35D" w14:textId="7D15BB7A" w:rsidR="001D0CB2" w:rsidRDefault="00E27FE2">
      <w:pPr>
        <w:spacing w:after="0"/>
      </w:pPr>
      <w:r>
        <w:rPr>
          <w:b/>
        </w:rPr>
        <w:t>Beispiel:</w:t>
      </w:r>
      <w:r>
        <w:t xml:space="preserve"> Die Daten aus </w:t>
      </w:r>
      <w:r>
        <w:fldChar w:fldCharType="begin"/>
      </w:r>
      <w:r>
        <w:instrText xml:space="preserve"> REF _Ref512152891 \h </w:instrText>
      </w:r>
      <w:r>
        <w:fldChar w:fldCharType="separate"/>
      </w:r>
      <w:r w:rsidR="00072F0D">
        <w:t xml:space="preserve">Tabelle </w:t>
      </w:r>
      <w:r w:rsidR="00072F0D">
        <w:rPr>
          <w:noProof/>
        </w:rPr>
        <w:t>1</w:t>
      </w:r>
      <w:r>
        <w:fldChar w:fldCharType="end"/>
      </w:r>
      <w:r>
        <w:t xml:space="preserve"> w</w:t>
      </w:r>
      <w:r w:rsidR="00320BB2">
        <w:t>u</w:t>
      </w:r>
      <w:r>
        <w:t>rden maskiert, indem der Tag und der Monat des Datums jeweils auf „01“ geändert wurden, die Namen auf feste Zeichenkette unter Beibehaltung der Geschlechterzuordnung:</w:t>
      </w:r>
    </w:p>
    <w:p w14:paraId="6A1EB2EF" w14:textId="77777777" w:rsidR="004C4805" w:rsidRDefault="004C4805">
      <w:r>
        <w:br w:type="page"/>
      </w:r>
    </w:p>
    <w:tbl>
      <w:tblPr>
        <w:tblW w:w="7670" w:type="dxa"/>
        <w:tblInd w:w="55" w:type="dxa"/>
        <w:tblCellMar>
          <w:left w:w="70" w:type="dxa"/>
          <w:right w:w="70" w:type="dxa"/>
        </w:tblCellMar>
        <w:tblLook w:val="04A0" w:firstRow="1" w:lastRow="0" w:firstColumn="1" w:lastColumn="0" w:noHBand="0" w:noVBand="1"/>
      </w:tblPr>
      <w:tblGrid>
        <w:gridCol w:w="1200"/>
        <w:gridCol w:w="1302"/>
        <w:gridCol w:w="1200"/>
        <w:gridCol w:w="1558"/>
        <w:gridCol w:w="1134"/>
        <w:gridCol w:w="1276"/>
      </w:tblGrid>
      <w:tr w:rsidR="001D0CB2" w14:paraId="2D2157DF" w14:textId="77777777" w:rsidTr="00D8462D">
        <w:trPr>
          <w:trHeight w:val="315"/>
          <w:tblHead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640A1" w14:textId="3585D3E4"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lastRenderedPageBreak/>
              <w:t>Vorname</w:t>
            </w:r>
          </w:p>
        </w:tc>
        <w:tc>
          <w:tcPr>
            <w:tcW w:w="1302" w:type="dxa"/>
            <w:tcBorders>
              <w:top w:val="single" w:sz="8" w:space="0" w:color="auto"/>
              <w:left w:val="nil"/>
              <w:bottom w:val="single" w:sz="8" w:space="0" w:color="auto"/>
              <w:right w:val="single" w:sz="8" w:space="0" w:color="auto"/>
            </w:tcBorders>
            <w:shd w:val="clear" w:color="auto" w:fill="auto"/>
            <w:noWrap/>
            <w:vAlign w:val="center"/>
            <w:hideMark/>
          </w:tcPr>
          <w:p w14:paraId="363A0BCC"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BE36A7F"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Geschlecht</w:t>
            </w:r>
          </w:p>
        </w:tc>
        <w:tc>
          <w:tcPr>
            <w:tcW w:w="1558" w:type="dxa"/>
            <w:tcBorders>
              <w:top w:val="single" w:sz="8" w:space="0" w:color="auto"/>
              <w:left w:val="nil"/>
              <w:bottom w:val="single" w:sz="8" w:space="0" w:color="auto"/>
              <w:right w:val="single" w:sz="8" w:space="0" w:color="auto"/>
            </w:tcBorders>
            <w:shd w:val="clear" w:color="auto" w:fill="auto"/>
            <w:noWrap/>
            <w:vAlign w:val="center"/>
            <w:hideMark/>
          </w:tcPr>
          <w:p w14:paraId="0E797EBA"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5FF7152"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PLZ</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AB4922"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r>
      <w:tr w:rsidR="001D0CB2" w14:paraId="49FF90F0"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334DA8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4DB0690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03BAE2E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339E8C5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01.01.1983</w:t>
            </w:r>
          </w:p>
        </w:tc>
        <w:tc>
          <w:tcPr>
            <w:tcW w:w="1134" w:type="dxa"/>
            <w:tcBorders>
              <w:top w:val="nil"/>
              <w:left w:val="nil"/>
              <w:bottom w:val="single" w:sz="8" w:space="0" w:color="auto"/>
              <w:right w:val="single" w:sz="8" w:space="0" w:color="auto"/>
            </w:tcBorders>
            <w:shd w:val="clear" w:color="auto" w:fill="auto"/>
            <w:noWrap/>
            <w:vAlign w:val="bottom"/>
            <w:hideMark/>
          </w:tcPr>
          <w:p w14:paraId="647A745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10115</w:t>
            </w:r>
          </w:p>
        </w:tc>
        <w:tc>
          <w:tcPr>
            <w:tcW w:w="1276" w:type="dxa"/>
            <w:tcBorders>
              <w:top w:val="nil"/>
              <w:left w:val="nil"/>
              <w:bottom w:val="single" w:sz="8" w:space="0" w:color="auto"/>
              <w:right w:val="single" w:sz="8" w:space="0" w:color="auto"/>
            </w:tcBorders>
            <w:shd w:val="clear" w:color="auto" w:fill="auto"/>
            <w:noWrap/>
            <w:vAlign w:val="bottom"/>
            <w:hideMark/>
          </w:tcPr>
          <w:p w14:paraId="48CF0BAC"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C43.9</w:t>
            </w:r>
          </w:p>
        </w:tc>
      </w:tr>
      <w:tr w:rsidR="001D0CB2" w14:paraId="00BE528E"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C681DA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7146810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38D1095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46611F8F"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01.01.1965</w:t>
            </w:r>
          </w:p>
        </w:tc>
        <w:tc>
          <w:tcPr>
            <w:tcW w:w="1134" w:type="dxa"/>
            <w:tcBorders>
              <w:top w:val="nil"/>
              <w:left w:val="nil"/>
              <w:bottom w:val="single" w:sz="8" w:space="0" w:color="auto"/>
              <w:right w:val="single" w:sz="8" w:space="0" w:color="auto"/>
            </w:tcBorders>
            <w:shd w:val="clear" w:color="auto" w:fill="auto"/>
            <w:noWrap/>
            <w:vAlign w:val="bottom"/>
            <w:hideMark/>
          </w:tcPr>
          <w:p w14:paraId="1704849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10115</w:t>
            </w:r>
          </w:p>
        </w:tc>
        <w:tc>
          <w:tcPr>
            <w:tcW w:w="1276" w:type="dxa"/>
            <w:tcBorders>
              <w:top w:val="nil"/>
              <w:left w:val="nil"/>
              <w:bottom w:val="single" w:sz="8" w:space="0" w:color="auto"/>
              <w:right w:val="single" w:sz="8" w:space="0" w:color="auto"/>
            </w:tcBorders>
            <w:shd w:val="clear" w:color="auto" w:fill="auto"/>
            <w:noWrap/>
            <w:vAlign w:val="bottom"/>
            <w:hideMark/>
          </w:tcPr>
          <w:p w14:paraId="235EA3CA"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D22.9</w:t>
            </w:r>
          </w:p>
        </w:tc>
      </w:tr>
      <w:tr w:rsidR="001D0CB2" w14:paraId="40C00918"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071C0B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46FB0FF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28A1244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48F9A55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01.01.1977</w:t>
            </w:r>
          </w:p>
        </w:tc>
        <w:tc>
          <w:tcPr>
            <w:tcW w:w="1134" w:type="dxa"/>
            <w:tcBorders>
              <w:top w:val="nil"/>
              <w:left w:val="nil"/>
              <w:bottom w:val="single" w:sz="8" w:space="0" w:color="auto"/>
              <w:right w:val="single" w:sz="8" w:space="0" w:color="auto"/>
            </w:tcBorders>
            <w:shd w:val="clear" w:color="auto" w:fill="auto"/>
            <w:noWrap/>
            <w:vAlign w:val="bottom"/>
            <w:hideMark/>
          </w:tcPr>
          <w:p w14:paraId="2C48C38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10178</w:t>
            </w:r>
          </w:p>
        </w:tc>
        <w:tc>
          <w:tcPr>
            <w:tcW w:w="1276" w:type="dxa"/>
            <w:tcBorders>
              <w:top w:val="nil"/>
              <w:left w:val="nil"/>
              <w:bottom w:val="single" w:sz="8" w:space="0" w:color="auto"/>
              <w:right w:val="single" w:sz="8" w:space="0" w:color="auto"/>
            </w:tcBorders>
            <w:shd w:val="clear" w:color="auto" w:fill="auto"/>
            <w:noWrap/>
            <w:vAlign w:val="bottom"/>
            <w:hideMark/>
          </w:tcPr>
          <w:p w14:paraId="7E81484F"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C85.9</w:t>
            </w:r>
          </w:p>
        </w:tc>
      </w:tr>
      <w:tr w:rsidR="001D0CB2" w14:paraId="3741FD0D"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229A41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32885C3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3447B39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3DC114A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01.01.1981</w:t>
            </w:r>
          </w:p>
        </w:tc>
        <w:tc>
          <w:tcPr>
            <w:tcW w:w="1134" w:type="dxa"/>
            <w:tcBorders>
              <w:top w:val="nil"/>
              <w:left w:val="nil"/>
              <w:bottom w:val="single" w:sz="8" w:space="0" w:color="auto"/>
              <w:right w:val="single" w:sz="8" w:space="0" w:color="auto"/>
            </w:tcBorders>
            <w:shd w:val="clear" w:color="auto" w:fill="auto"/>
            <w:noWrap/>
            <w:vAlign w:val="bottom"/>
            <w:hideMark/>
          </w:tcPr>
          <w:p w14:paraId="3342F78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10247</w:t>
            </w:r>
          </w:p>
        </w:tc>
        <w:tc>
          <w:tcPr>
            <w:tcW w:w="1276" w:type="dxa"/>
            <w:tcBorders>
              <w:top w:val="nil"/>
              <w:left w:val="nil"/>
              <w:bottom w:val="single" w:sz="8" w:space="0" w:color="auto"/>
              <w:right w:val="single" w:sz="8" w:space="0" w:color="auto"/>
            </w:tcBorders>
            <w:shd w:val="clear" w:color="auto" w:fill="auto"/>
            <w:noWrap/>
            <w:vAlign w:val="bottom"/>
            <w:hideMark/>
          </w:tcPr>
          <w:p w14:paraId="2B1DF4B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D44.8</w:t>
            </w:r>
          </w:p>
        </w:tc>
      </w:tr>
      <w:tr w:rsidR="001D0CB2" w14:paraId="77D1586D"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995BD2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008579E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1BA331F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5EC0CBC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01.01.1985</w:t>
            </w:r>
          </w:p>
        </w:tc>
        <w:tc>
          <w:tcPr>
            <w:tcW w:w="1134" w:type="dxa"/>
            <w:tcBorders>
              <w:top w:val="nil"/>
              <w:left w:val="nil"/>
              <w:bottom w:val="single" w:sz="8" w:space="0" w:color="auto"/>
              <w:right w:val="single" w:sz="8" w:space="0" w:color="auto"/>
            </w:tcBorders>
            <w:shd w:val="clear" w:color="auto" w:fill="auto"/>
            <w:noWrap/>
            <w:vAlign w:val="bottom"/>
            <w:hideMark/>
          </w:tcPr>
          <w:p w14:paraId="2555E6E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10319</w:t>
            </w:r>
          </w:p>
        </w:tc>
        <w:tc>
          <w:tcPr>
            <w:tcW w:w="1276" w:type="dxa"/>
            <w:tcBorders>
              <w:top w:val="nil"/>
              <w:left w:val="nil"/>
              <w:bottom w:val="single" w:sz="8" w:space="0" w:color="auto"/>
              <w:right w:val="single" w:sz="8" w:space="0" w:color="auto"/>
            </w:tcBorders>
            <w:shd w:val="clear" w:color="auto" w:fill="auto"/>
            <w:noWrap/>
            <w:vAlign w:val="bottom"/>
            <w:hideMark/>
          </w:tcPr>
          <w:p w14:paraId="6B88BD4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C18.4</w:t>
            </w:r>
          </w:p>
        </w:tc>
      </w:tr>
      <w:tr w:rsidR="001D0CB2" w14:paraId="26116D61"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53A4A8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184908E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44E7A88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0638899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01.01.1987</w:t>
            </w:r>
          </w:p>
        </w:tc>
        <w:tc>
          <w:tcPr>
            <w:tcW w:w="1134" w:type="dxa"/>
            <w:tcBorders>
              <w:top w:val="nil"/>
              <w:left w:val="nil"/>
              <w:bottom w:val="single" w:sz="8" w:space="0" w:color="auto"/>
              <w:right w:val="single" w:sz="8" w:space="0" w:color="auto"/>
            </w:tcBorders>
            <w:shd w:val="clear" w:color="auto" w:fill="auto"/>
            <w:noWrap/>
            <w:vAlign w:val="bottom"/>
            <w:hideMark/>
          </w:tcPr>
          <w:p w14:paraId="42029A0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10407</w:t>
            </w:r>
          </w:p>
        </w:tc>
        <w:tc>
          <w:tcPr>
            <w:tcW w:w="1276" w:type="dxa"/>
            <w:tcBorders>
              <w:top w:val="nil"/>
              <w:left w:val="nil"/>
              <w:bottom w:val="single" w:sz="8" w:space="0" w:color="auto"/>
              <w:right w:val="single" w:sz="8" w:space="0" w:color="auto"/>
            </w:tcBorders>
            <w:shd w:val="clear" w:color="auto" w:fill="auto"/>
            <w:noWrap/>
            <w:vAlign w:val="bottom"/>
            <w:hideMark/>
          </w:tcPr>
          <w:p w14:paraId="78DBDF46"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D46.1</w:t>
            </w:r>
          </w:p>
        </w:tc>
      </w:tr>
      <w:tr w:rsidR="001D0CB2" w14:paraId="3E7E9FC4"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59DD9E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13BD97E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6B799E6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33BFEB8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01.01.1988</w:t>
            </w:r>
          </w:p>
        </w:tc>
        <w:tc>
          <w:tcPr>
            <w:tcW w:w="1134" w:type="dxa"/>
            <w:tcBorders>
              <w:top w:val="nil"/>
              <w:left w:val="nil"/>
              <w:bottom w:val="single" w:sz="8" w:space="0" w:color="auto"/>
              <w:right w:val="single" w:sz="8" w:space="0" w:color="auto"/>
            </w:tcBorders>
            <w:shd w:val="clear" w:color="auto" w:fill="auto"/>
            <w:noWrap/>
            <w:vAlign w:val="bottom"/>
            <w:hideMark/>
          </w:tcPr>
          <w:p w14:paraId="64BB86C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10435</w:t>
            </w:r>
          </w:p>
        </w:tc>
        <w:tc>
          <w:tcPr>
            <w:tcW w:w="1276" w:type="dxa"/>
            <w:tcBorders>
              <w:top w:val="nil"/>
              <w:left w:val="nil"/>
              <w:bottom w:val="single" w:sz="8" w:space="0" w:color="auto"/>
              <w:right w:val="single" w:sz="8" w:space="0" w:color="auto"/>
            </w:tcBorders>
            <w:shd w:val="clear" w:color="auto" w:fill="auto"/>
            <w:noWrap/>
            <w:vAlign w:val="bottom"/>
            <w:hideMark/>
          </w:tcPr>
          <w:p w14:paraId="092DD63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C16.3</w:t>
            </w:r>
          </w:p>
        </w:tc>
      </w:tr>
      <w:tr w:rsidR="001D0CB2" w14:paraId="33A00250"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AC4021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6C91D93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324611A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4520206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01.01.1968</w:t>
            </w:r>
          </w:p>
        </w:tc>
        <w:tc>
          <w:tcPr>
            <w:tcW w:w="1134" w:type="dxa"/>
            <w:tcBorders>
              <w:top w:val="nil"/>
              <w:left w:val="nil"/>
              <w:bottom w:val="single" w:sz="8" w:space="0" w:color="auto"/>
              <w:right w:val="single" w:sz="8" w:space="0" w:color="auto"/>
            </w:tcBorders>
            <w:shd w:val="clear" w:color="auto" w:fill="auto"/>
            <w:noWrap/>
            <w:vAlign w:val="bottom"/>
            <w:hideMark/>
          </w:tcPr>
          <w:p w14:paraId="7C87654E"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10439</w:t>
            </w:r>
          </w:p>
        </w:tc>
        <w:tc>
          <w:tcPr>
            <w:tcW w:w="1276" w:type="dxa"/>
            <w:tcBorders>
              <w:top w:val="nil"/>
              <w:left w:val="nil"/>
              <w:bottom w:val="single" w:sz="8" w:space="0" w:color="auto"/>
              <w:right w:val="single" w:sz="8" w:space="0" w:color="auto"/>
            </w:tcBorders>
            <w:shd w:val="clear" w:color="auto" w:fill="auto"/>
            <w:noWrap/>
            <w:vAlign w:val="bottom"/>
            <w:hideMark/>
          </w:tcPr>
          <w:p w14:paraId="71465E6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D46.2</w:t>
            </w:r>
          </w:p>
        </w:tc>
      </w:tr>
      <w:tr w:rsidR="001D0CB2" w14:paraId="737B45C7"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C8584C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4943148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2D77DAF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6A17C74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01.01.1978</w:t>
            </w:r>
          </w:p>
        </w:tc>
        <w:tc>
          <w:tcPr>
            <w:tcW w:w="1134" w:type="dxa"/>
            <w:tcBorders>
              <w:top w:val="nil"/>
              <w:left w:val="nil"/>
              <w:bottom w:val="single" w:sz="8" w:space="0" w:color="auto"/>
              <w:right w:val="single" w:sz="8" w:space="0" w:color="auto"/>
            </w:tcBorders>
            <w:shd w:val="clear" w:color="auto" w:fill="auto"/>
            <w:noWrap/>
            <w:vAlign w:val="bottom"/>
            <w:hideMark/>
          </w:tcPr>
          <w:p w14:paraId="2D44428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10585</w:t>
            </w:r>
          </w:p>
        </w:tc>
        <w:tc>
          <w:tcPr>
            <w:tcW w:w="1276" w:type="dxa"/>
            <w:tcBorders>
              <w:top w:val="nil"/>
              <w:left w:val="nil"/>
              <w:bottom w:val="single" w:sz="8" w:space="0" w:color="auto"/>
              <w:right w:val="single" w:sz="8" w:space="0" w:color="auto"/>
            </w:tcBorders>
            <w:shd w:val="clear" w:color="auto" w:fill="auto"/>
            <w:noWrap/>
            <w:vAlign w:val="bottom"/>
            <w:hideMark/>
          </w:tcPr>
          <w:p w14:paraId="2EB86805"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C50.3</w:t>
            </w:r>
          </w:p>
        </w:tc>
      </w:tr>
      <w:tr w:rsidR="001D0CB2" w14:paraId="26CFE703"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B30EBD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7ED3629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0E7A983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102D7F8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01.01.1969</w:t>
            </w:r>
          </w:p>
        </w:tc>
        <w:tc>
          <w:tcPr>
            <w:tcW w:w="1134" w:type="dxa"/>
            <w:tcBorders>
              <w:top w:val="nil"/>
              <w:left w:val="nil"/>
              <w:bottom w:val="single" w:sz="8" w:space="0" w:color="auto"/>
              <w:right w:val="single" w:sz="8" w:space="0" w:color="auto"/>
            </w:tcBorders>
            <w:shd w:val="clear" w:color="auto" w:fill="auto"/>
            <w:noWrap/>
            <w:vAlign w:val="bottom"/>
            <w:hideMark/>
          </w:tcPr>
          <w:p w14:paraId="3C81E47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10707</w:t>
            </w:r>
          </w:p>
        </w:tc>
        <w:tc>
          <w:tcPr>
            <w:tcW w:w="1276" w:type="dxa"/>
            <w:tcBorders>
              <w:top w:val="nil"/>
              <w:left w:val="nil"/>
              <w:bottom w:val="single" w:sz="8" w:space="0" w:color="auto"/>
              <w:right w:val="single" w:sz="8" w:space="0" w:color="auto"/>
            </w:tcBorders>
            <w:shd w:val="clear" w:color="auto" w:fill="auto"/>
            <w:noWrap/>
            <w:vAlign w:val="bottom"/>
            <w:hideMark/>
          </w:tcPr>
          <w:p w14:paraId="5E275AB6" w14:textId="77777777" w:rsidR="001D0CB2" w:rsidRDefault="00E27FE2">
            <w:pPr>
              <w:spacing w:after="0" w:line="240" w:lineRule="auto"/>
              <w:jc w:val="left"/>
              <w:rPr>
                <w:rFonts w:ascii="Calibri" w:eastAsia="Times New Roman" w:hAnsi="Calibri" w:cs="Times New Roman"/>
                <w:color w:val="000000"/>
                <w:lang w:eastAsia="de-DE"/>
              </w:rPr>
            </w:pPr>
            <w:r w:rsidRPr="00F215B1">
              <w:rPr>
                <w:rFonts w:ascii="Calibri" w:eastAsia="Times New Roman" w:hAnsi="Calibri" w:cs="Times New Roman"/>
                <w:color w:val="000000"/>
                <w:lang w:eastAsia="de-DE"/>
              </w:rPr>
              <w:t>C91.10</w:t>
            </w:r>
          </w:p>
        </w:tc>
      </w:tr>
      <w:tr w:rsidR="001D0CB2" w14:paraId="467BD0E5"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0DE315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3717828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1BF6C65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6524B16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01.01.1967</w:t>
            </w:r>
          </w:p>
        </w:tc>
        <w:tc>
          <w:tcPr>
            <w:tcW w:w="1134" w:type="dxa"/>
            <w:tcBorders>
              <w:top w:val="nil"/>
              <w:left w:val="nil"/>
              <w:bottom w:val="single" w:sz="8" w:space="0" w:color="auto"/>
              <w:right w:val="single" w:sz="8" w:space="0" w:color="auto"/>
            </w:tcBorders>
            <w:shd w:val="clear" w:color="auto" w:fill="auto"/>
            <w:noWrap/>
            <w:vAlign w:val="bottom"/>
            <w:hideMark/>
          </w:tcPr>
          <w:p w14:paraId="4BB6B18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10717</w:t>
            </w:r>
          </w:p>
        </w:tc>
        <w:tc>
          <w:tcPr>
            <w:tcW w:w="1276" w:type="dxa"/>
            <w:tcBorders>
              <w:top w:val="nil"/>
              <w:left w:val="nil"/>
              <w:bottom w:val="single" w:sz="8" w:space="0" w:color="auto"/>
              <w:right w:val="single" w:sz="8" w:space="0" w:color="auto"/>
            </w:tcBorders>
            <w:shd w:val="clear" w:color="auto" w:fill="auto"/>
            <w:noWrap/>
            <w:vAlign w:val="bottom"/>
            <w:hideMark/>
          </w:tcPr>
          <w:p w14:paraId="3AC5849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D12.8</w:t>
            </w:r>
          </w:p>
        </w:tc>
      </w:tr>
      <w:tr w:rsidR="001D0CB2" w14:paraId="6AF2405B"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709C4B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Max</w:t>
            </w:r>
          </w:p>
        </w:tc>
        <w:tc>
          <w:tcPr>
            <w:tcW w:w="1302" w:type="dxa"/>
            <w:tcBorders>
              <w:top w:val="nil"/>
              <w:left w:val="nil"/>
              <w:bottom w:val="single" w:sz="8" w:space="0" w:color="auto"/>
              <w:right w:val="single" w:sz="8" w:space="0" w:color="auto"/>
            </w:tcBorders>
            <w:shd w:val="clear" w:color="auto" w:fill="auto"/>
            <w:noWrap/>
            <w:vAlign w:val="bottom"/>
            <w:hideMark/>
          </w:tcPr>
          <w:p w14:paraId="6CCBC2E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Mustermann</w:t>
            </w:r>
          </w:p>
        </w:tc>
        <w:tc>
          <w:tcPr>
            <w:tcW w:w="1200" w:type="dxa"/>
            <w:tcBorders>
              <w:top w:val="nil"/>
              <w:left w:val="nil"/>
              <w:bottom w:val="single" w:sz="8" w:space="0" w:color="auto"/>
              <w:right w:val="single" w:sz="8" w:space="0" w:color="auto"/>
            </w:tcBorders>
            <w:shd w:val="clear" w:color="auto" w:fill="auto"/>
            <w:noWrap/>
            <w:vAlign w:val="bottom"/>
            <w:hideMark/>
          </w:tcPr>
          <w:p w14:paraId="6000AA0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58" w:type="dxa"/>
            <w:tcBorders>
              <w:top w:val="nil"/>
              <w:left w:val="nil"/>
              <w:bottom w:val="single" w:sz="8" w:space="0" w:color="auto"/>
              <w:right w:val="single" w:sz="8" w:space="0" w:color="auto"/>
            </w:tcBorders>
            <w:shd w:val="clear" w:color="auto" w:fill="auto"/>
            <w:noWrap/>
            <w:vAlign w:val="bottom"/>
            <w:hideMark/>
          </w:tcPr>
          <w:p w14:paraId="14888D1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01.01.1991</w:t>
            </w:r>
          </w:p>
        </w:tc>
        <w:tc>
          <w:tcPr>
            <w:tcW w:w="1134" w:type="dxa"/>
            <w:tcBorders>
              <w:top w:val="nil"/>
              <w:left w:val="nil"/>
              <w:bottom w:val="single" w:sz="8" w:space="0" w:color="auto"/>
              <w:right w:val="single" w:sz="8" w:space="0" w:color="auto"/>
            </w:tcBorders>
            <w:shd w:val="clear" w:color="auto" w:fill="auto"/>
            <w:noWrap/>
            <w:vAlign w:val="bottom"/>
            <w:hideMark/>
          </w:tcPr>
          <w:p w14:paraId="55987E9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10717</w:t>
            </w:r>
          </w:p>
        </w:tc>
        <w:tc>
          <w:tcPr>
            <w:tcW w:w="1276" w:type="dxa"/>
            <w:tcBorders>
              <w:top w:val="nil"/>
              <w:left w:val="nil"/>
              <w:bottom w:val="single" w:sz="8" w:space="0" w:color="auto"/>
              <w:right w:val="single" w:sz="8" w:space="0" w:color="auto"/>
            </w:tcBorders>
            <w:shd w:val="clear" w:color="auto" w:fill="auto"/>
            <w:noWrap/>
            <w:vAlign w:val="bottom"/>
            <w:hideMark/>
          </w:tcPr>
          <w:p w14:paraId="563C861F"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D12.6</w:t>
            </w:r>
          </w:p>
        </w:tc>
      </w:tr>
      <w:tr w:rsidR="001D0CB2" w14:paraId="3C746317"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A9BCEE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765C764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5431D11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162F36C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01.01.1987</w:t>
            </w:r>
          </w:p>
        </w:tc>
        <w:tc>
          <w:tcPr>
            <w:tcW w:w="1134" w:type="dxa"/>
            <w:tcBorders>
              <w:top w:val="nil"/>
              <w:left w:val="nil"/>
              <w:bottom w:val="single" w:sz="8" w:space="0" w:color="auto"/>
              <w:right w:val="single" w:sz="8" w:space="0" w:color="auto"/>
            </w:tcBorders>
            <w:shd w:val="clear" w:color="auto" w:fill="auto"/>
            <w:noWrap/>
            <w:vAlign w:val="bottom"/>
            <w:hideMark/>
          </w:tcPr>
          <w:p w14:paraId="2C5608F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10787</w:t>
            </w:r>
          </w:p>
        </w:tc>
        <w:tc>
          <w:tcPr>
            <w:tcW w:w="1276" w:type="dxa"/>
            <w:tcBorders>
              <w:top w:val="nil"/>
              <w:left w:val="nil"/>
              <w:bottom w:val="single" w:sz="8" w:space="0" w:color="auto"/>
              <w:right w:val="single" w:sz="8" w:space="0" w:color="auto"/>
            </w:tcBorders>
            <w:shd w:val="clear" w:color="auto" w:fill="auto"/>
            <w:noWrap/>
            <w:vAlign w:val="bottom"/>
            <w:hideMark/>
          </w:tcPr>
          <w:p w14:paraId="7BA322A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C50.8</w:t>
            </w:r>
          </w:p>
        </w:tc>
      </w:tr>
      <w:tr w:rsidR="001D0CB2" w14:paraId="1693F605"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80A32B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1A48434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614A392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7780AEF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01.01.1983</w:t>
            </w:r>
          </w:p>
        </w:tc>
        <w:tc>
          <w:tcPr>
            <w:tcW w:w="1134" w:type="dxa"/>
            <w:tcBorders>
              <w:top w:val="nil"/>
              <w:left w:val="nil"/>
              <w:bottom w:val="single" w:sz="8" w:space="0" w:color="auto"/>
              <w:right w:val="single" w:sz="8" w:space="0" w:color="auto"/>
            </w:tcBorders>
            <w:shd w:val="clear" w:color="auto" w:fill="auto"/>
            <w:noWrap/>
            <w:vAlign w:val="bottom"/>
            <w:hideMark/>
          </w:tcPr>
          <w:p w14:paraId="1EC5335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10827</w:t>
            </w:r>
          </w:p>
        </w:tc>
        <w:tc>
          <w:tcPr>
            <w:tcW w:w="1276" w:type="dxa"/>
            <w:tcBorders>
              <w:top w:val="nil"/>
              <w:left w:val="nil"/>
              <w:bottom w:val="single" w:sz="8" w:space="0" w:color="auto"/>
              <w:right w:val="single" w:sz="8" w:space="0" w:color="auto"/>
            </w:tcBorders>
            <w:shd w:val="clear" w:color="auto" w:fill="auto"/>
            <w:noWrap/>
            <w:vAlign w:val="bottom"/>
            <w:hideMark/>
          </w:tcPr>
          <w:p w14:paraId="0E4F62F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C50.1</w:t>
            </w:r>
          </w:p>
        </w:tc>
      </w:tr>
      <w:tr w:rsidR="001D0CB2" w14:paraId="3E773248"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551ED5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Anne</w:t>
            </w:r>
          </w:p>
        </w:tc>
        <w:tc>
          <w:tcPr>
            <w:tcW w:w="1302" w:type="dxa"/>
            <w:tcBorders>
              <w:top w:val="nil"/>
              <w:left w:val="nil"/>
              <w:bottom w:val="single" w:sz="8" w:space="0" w:color="auto"/>
              <w:right w:val="single" w:sz="8" w:space="0" w:color="auto"/>
            </w:tcBorders>
            <w:shd w:val="clear" w:color="auto" w:fill="auto"/>
            <w:noWrap/>
            <w:vAlign w:val="bottom"/>
            <w:hideMark/>
          </w:tcPr>
          <w:p w14:paraId="730A0B8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Musterfrau</w:t>
            </w:r>
          </w:p>
        </w:tc>
        <w:tc>
          <w:tcPr>
            <w:tcW w:w="1200" w:type="dxa"/>
            <w:tcBorders>
              <w:top w:val="nil"/>
              <w:left w:val="nil"/>
              <w:bottom w:val="single" w:sz="8" w:space="0" w:color="auto"/>
              <w:right w:val="single" w:sz="8" w:space="0" w:color="auto"/>
            </w:tcBorders>
            <w:shd w:val="clear" w:color="auto" w:fill="auto"/>
            <w:noWrap/>
            <w:vAlign w:val="bottom"/>
            <w:hideMark/>
          </w:tcPr>
          <w:p w14:paraId="6369F2D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58" w:type="dxa"/>
            <w:tcBorders>
              <w:top w:val="nil"/>
              <w:left w:val="nil"/>
              <w:bottom w:val="single" w:sz="8" w:space="0" w:color="auto"/>
              <w:right w:val="single" w:sz="8" w:space="0" w:color="auto"/>
            </w:tcBorders>
            <w:shd w:val="clear" w:color="auto" w:fill="auto"/>
            <w:noWrap/>
            <w:vAlign w:val="bottom"/>
            <w:hideMark/>
          </w:tcPr>
          <w:p w14:paraId="729715F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01.01.1975</w:t>
            </w:r>
          </w:p>
        </w:tc>
        <w:tc>
          <w:tcPr>
            <w:tcW w:w="1134" w:type="dxa"/>
            <w:tcBorders>
              <w:top w:val="nil"/>
              <w:left w:val="nil"/>
              <w:bottom w:val="single" w:sz="8" w:space="0" w:color="auto"/>
              <w:right w:val="single" w:sz="8" w:space="0" w:color="auto"/>
            </w:tcBorders>
            <w:shd w:val="clear" w:color="auto" w:fill="auto"/>
            <w:noWrap/>
            <w:vAlign w:val="bottom"/>
            <w:hideMark/>
          </w:tcPr>
          <w:p w14:paraId="2932DDCE"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10963</w:t>
            </w:r>
          </w:p>
        </w:tc>
        <w:tc>
          <w:tcPr>
            <w:tcW w:w="1276" w:type="dxa"/>
            <w:tcBorders>
              <w:top w:val="nil"/>
              <w:left w:val="nil"/>
              <w:bottom w:val="single" w:sz="8" w:space="0" w:color="auto"/>
              <w:right w:val="single" w:sz="8" w:space="0" w:color="auto"/>
            </w:tcBorders>
            <w:shd w:val="clear" w:color="auto" w:fill="auto"/>
            <w:noWrap/>
            <w:vAlign w:val="bottom"/>
            <w:hideMark/>
          </w:tcPr>
          <w:p w14:paraId="1F73F47D"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C83.0</w:t>
            </w:r>
          </w:p>
        </w:tc>
      </w:tr>
    </w:tbl>
    <w:p w14:paraId="7DD0C9F2" w14:textId="77777777" w:rsidR="001D0CB2" w:rsidRDefault="00E27FE2">
      <w:pPr>
        <w:pStyle w:val="Beschriftung"/>
        <w:rPr>
          <w:noProof/>
        </w:rPr>
      </w:pPr>
      <w:bookmarkStart w:id="97" w:name="_Toc517508001"/>
      <w:r>
        <w:t xml:space="preserve">Tabelle </w:t>
      </w:r>
      <w:fldSimple w:instr=" SEQ Tabelle \* ARABIC ">
        <w:r w:rsidR="00072F0D">
          <w:rPr>
            <w:noProof/>
          </w:rPr>
          <w:t>4</w:t>
        </w:r>
      </w:fldSimple>
      <w:r>
        <w:t>:</w:t>
      </w:r>
      <w:r>
        <w:rPr>
          <w:noProof/>
        </w:rPr>
        <w:t xml:space="preserve"> </w:t>
      </w:r>
      <w:r w:rsidRPr="00F215B1">
        <w:rPr>
          <w:noProof/>
        </w:rPr>
        <w:t>Maskiertes</w:t>
      </w:r>
      <w:r>
        <w:rPr>
          <w:noProof/>
        </w:rPr>
        <w:t xml:space="preserve"> Geburtsdatum</w:t>
      </w:r>
      <w:bookmarkEnd w:id="97"/>
    </w:p>
    <w:p w14:paraId="4DE0484B" w14:textId="77777777" w:rsidR="001D0CB2" w:rsidRDefault="00E27FE2">
      <w:pPr>
        <w:pStyle w:val="berschrift3"/>
      </w:pPr>
      <w:bookmarkStart w:id="98" w:name="_Toc517507971"/>
      <w:r>
        <w:t>Mischung/</w:t>
      </w:r>
      <w:proofErr w:type="spellStart"/>
      <w:r w:rsidRPr="006C6D59">
        <w:t>Shuffeling</w:t>
      </w:r>
      <w:bookmarkEnd w:id="98"/>
      <w:proofErr w:type="spellEnd"/>
    </w:p>
    <w:p w14:paraId="304236FF" w14:textId="77777777" w:rsidR="001D0CB2" w:rsidRDefault="00E27FE2">
      <w:r>
        <w:t>Bei der Nutzung dieser Methode werden die in den Datensätzen enthaltenen Werte getauscht („</w:t>
      </w:r>
      <w:proofErr w:type="spellStart"/>
      <w:r w:rsidRPr="00F215B1">
        <w:t>verwürfelt</w:t>
      </w:r>
      <w:proofErr w:type="spellEnd"/>
      <w:r>
        <w:t>“). Dabei ist zu beachten, dass etwaige, eine Person eindeutig identifizierende Informationen wie bspw. eine Telefonnummer oder eine Kreditkartennummer zur Auflösung des Personenbezugs noch zusätzlich mit einer weiteren Methode verfremdet werden müssen, um einen Personenbezug ausschließen zu können.</w:t>
      </w:r>
    </w:p>
    <w:p w14:paraId="77448EA1" w14:textId="77777777" w:rsidR="001D0CB2" w:rsidRDefault="00E27FE2">
      <w:r>
        <w:t>Die Grundlage für diese Durchmischung sollte eine Zufallsverteilung sein, die jedem Datenfeld die Daten bzw. Teilmenge der Daten eines anderen Datenfeldes zuordnet, wodurch letztlich ein neuer Datensatz gebildet wird. Bei einer zufälligen Vertauschung ist grundsätzlich nicht auszuschließen, dass ein Datensatz auf sich selbst abgebildet wird, wodurch im Ergebnis keine Veränderung stattfinden würde. Dies ist natürlich durch entsprechende Vorkehrungen auszuschließen.</w:t>
      </w:r>
    </w:p>
    <w:p w14:paraId="1C20A6F5" w14:textId="77777777" w:rsidR="001D0CB2" w:rsidRDefault="00E27FE2">
      <w:pPr>
        <w:spacing w:after="0"/>
      </w:pPr>
      <w:r>
        <w:rPr>
          <w:b/>
        </w:rPr>
        <w:t>Beispiel:</w:t>
      </w:r>
      <w:r>
        <w:t xml:space="preserve"> Die Daten aus </w:t>
      </w:r>
      <w:r>
        <w:fldChar w:fldCharType="begin"/>
      </w:r>
      <w:r>
        <w:instrText xml:space="preserve"> REF _Ref512152891 \h </w:instrText>
      </w:r>
      <w:r>
        <w:fldChar w:fldCharType="separate"/>
      </w:r>
      <w:r w:rsidR="00072F0D">
        <w:t xml:space="preserve">Tabelle </w:t>
      </w:r>
      <w:r w:rsidR="00072F0D">
        <w:rPr>
          <w:noProof/>
        </w:rPr>
        <w:t>1</w:t>
      </w:r>
      <w:r>
        <w:fldChar w:fldCharType="end"/>
      </w:r>
      <w:r>
        <w:t xml:space="preserve"> werden untereinander vermischt, um so die Identifizierung auszuschließen:</w:t>
      </w:r>
    </w:p>
    <w:tbl>
      <w:tblPr>
        <w:tblW w:w="9478" w:type="dxa"/>
        <w:tblInd w:w="55" w:type="dxa"/>
        <w:tblCellMar>
          <w:left w:w="70" w:type="dxa"/>
          <w:right w:w="70" w:type="dxa"/>
        </w:tblCellMar>
        <w:tblLook w:val="04A0" w:firstRow="1" w:lastRow="0" w:firstColumn="1" w:lastColumn="0" w:noHBand="0" w:noVBand="1"/>
      </w:tblPr>
      <w:tblGrid>
        <w:gridCol w:w="1200"/>
        <w:gridCol w:w="1200"/>
        <w:gridCol w:w="1200"/>
        <w:gridCol w:w="951"/>
        <w:gridCol w:w="426"/>
        <w:gridCol w:w="1232"/>
        <w:gridCol w:w="1200"/>
        <w:gridCol w:w="1200"/>
        <w:gridCol w:w="869"/>
      </w:tblGrid>
      <w:tr w:rsidR="001D0CB2" w14:paraId="1A8650EB" w14:textId="77777777">
        <w:trPr>
          <w:trHeight w:val="330"/>
        </w:trPr>
        <w:tc>
          <w:tcPr>
            <w:tcW w:w="4551" w:type="dxa"/>
            <w:gridSpan w:val="4"/>
            <w:tcBorders>
              <w:top w:val="nil"/>
              <w:left w:val="nil"/>
              <w:bottom w:val="single" w:sz="8" w:space="0" w:color="auto"/>
              <w:right w:val="nil"/>
            </w:tcBorders>
            <w:shd w:val="clear" w:color="auto" w:fill="auto"/>
            <w:noWrap/>
            <w:vAlign w:val="center"/>
            <w:hideMark/>
          </w:tcPr>
          <w:p w14:paraId="2BB1D135" w14:textId="77777777" w:rsidR="001D0CB2" w:rsidRDefault="00E27FE2">
            <w:pPr>
              <w:spacing w:after="0" w:line="240" w:lineRule="auto"/>
              <w:jc w:val="center"/>
              <w:rPr>
                <w:rFonts w:ascii="Calibri" w:eastAsia="Times New Roman" w:hAnsi="Calibri" w:cs="Times New Roman"/>
                <w:b/>
                <w:bCs/>
                <w:color w:val="000000"/>
                <w:sz w:val="24"/>
                <w:szCs w:val="24"/>
                <w:lang w:eastAsia="de-DE"/>
              </w:rPr>
            </w:pPr>
            <w:r>
              <w:rPr>
                <w:rFonts w:ascii="Calibri" w:eastAsia="Times New Roman" w:hAnsi="Calibri" w:cs="Times New Roman"/>
                <w:b/>
                <w:bCs/>
                <w:color w:val="000000"/>
                <w:sz w:val="24"/>
                <w:szCs w:val="24"/>
                <w:lang w:eastAsia="de-DE"/>
              </w:rPr>
              <w:t>Original</w:t>
            </w:r>
          </w:p>
        </w:tc>
        <w:tc>
          <w:tcPr>
            <w:tcW w:w="426" w:type="dxa"/>
            <w:tcBorders>
              <w:top w:val="nil"/>
              <w:left w:val="nil"/>
              <w:bottom w:val="nil"/>
              <w:right w:val="nil"/>
            </w:tcBorders>
            <w:shd w:val="clear" w:color="auto" w:fill="auto"/>
            <w:noWrap/>
            <w:vAlign w:val="bottom"/>
            <w:hideMark/>
          </w:tcPr>
          <w:p w14:paraId="5FB3ADAD" w14:textId="77777777" w:rsidR="001D0CB2" w:rsidRDefault="001D0CB2">
            <w:pPr>
              <w:spacing w:after="0" w:line="240" w:lineRule="auto"/>
              <w:jc w:val="left"/>
              <w:rPr>
                <w:rFonts w:ascii="Calibri" w:eastAsia="Times New Roman" w:hAnsi="Calibri" w:cs="Times New Roman"/>
                <w:color w:val="000000"/>
                <w:lang w:eastAsia="de-DE"/>
              </w:rPr>
            </w:pPr>
          </w:p>
        </w:tc>
        <w:tc>
          <w:tcPr>
            <w:tcW w:w="4501" w:type="dxa"/>
            <w:gridSpan w:val="4"/>
            <w:tcBorders>
              <w:top w:val="nil"/>
              <w:left w:val="nil"/>
              <w:bottom w:val="single" w:sz="8" w:space="0" w:color="auto"/>
              <w:right w:val="nil"/>
            </w:tcBorders>
            <w:shd w:val="clear" w:color="auto" w:fill="auto"/>
            <w:noWrap/>
            <w:vAlign w:val="center"/>
            <w:hideMark/>
          </w:tcPr>
          <w:p w14:paraId="0B1AB45F" w14:textId="77777777" w:rsidR="001D0CB2" w:rsidRDefault="00E27FE2">
            <w:pPr>
              <w:spacing w:after="0" w:line="240" w:lineRule="auto"/>
              <w:jc w:val="center"/>
              <w:rPr>
                <w:rFonts w:ascii="Calibri" w:eastAsia="Times New Roman" w:hAnsi="Calibri" w:cs="Times New Roman"/>
                <w:b/>
                <w:bCs/>
                <w:color w:val="000000"/>
                <w:sz w:val="24"/>
                <w:szCs w:val="24"/>
                <w:lang w:eastAsia="de-DE"/>
              </w:rPr>
            </w:pPr>
            <w:r>
              <w:rPr>
                <w:rFonts w:ascii="Calibri" w:eastAsia="Times New Roman" w:hAnsi="Calibri" w:cs="Times New Roman"/>
                <w:b/>
                <w:bCs/>
                <w:color w:val="000000"/>
                <w:sz w:val="24"/>
                <w:szCs w:val="24"/>
                <w:lang w:eastAsia="de-DE"/>
              </w:rPr>
              <w:t>Mischung</w:t>
            </w:r>
          </w:p>
        </w:tc>
      </w:tr>
      <w:tr w:rsidR="001D0CB2" w14:paraId="38175A98" w14:textId="7777777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DDB07E3"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Vorname</w:t>
            </w:r>
          </w:p>
        </w:tc>
        <w:tc>
          <w:tcPr>
            <w:tcW w:w="1200" w:type="dxa"/>
            <w:tcBorders>
              <w:top w:val="nil"/>
              <w:left w:val="nil"/>
              <w:bottom w:val="single" w:sz="8" w:space="0" w:color="auto"/>
              <w:right w:val="single" w:sz="8" w:space="0" w:color="auto"/>
            </w:tcBorders>
            <w:shd w:val="clear" w:color="auto" w:fill="auto"/>
            <w:noWrap/>
            <w:vAlign w:val="center"/>
            <w:hideMark/>
          </w:tcPr>
          <w:p w14:paraId="46CA5200"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200" w:type="dxa"/>
            <w:tcBorders>
              <w:top w:val="nil"/>
              <w:left w:val="nil"/>
              <w:bottom w:val="single" w:sz="8" w:space="0" w:color="auto"/>
              <w:right w:val="single" w:sz="8" w:space="0" w:color="auto"/>
            </w:tcBorders>
            <w:shd w:val="clear" w:color="auto" w:fill="auto"/>
            <w:noWrap/>
            <w:vAlign w:val="center"/>
            <w:hideMark/>
          </w:tcPr>
          <w:p w14:paraId="5AB8AF3A"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951" w:type="dxa"/>
            <w:tcBorders>
              <w:top w:val="nil"/>
              <w:left w:val="nil"/>
              <w:bottom w:val="single" w:sz="8" w:space="0" w:color="auto"/>
              <w:right w:val="single" w:sz="8" w:space="0" w:color="auto"/>
            </w:tcBorders>
            <w:shd w:val="clear" w:color="auto" w:fill="auto"/>
            <w:noWrap/>
            <w:vAlign w:val="center"/>
            <w:hideMark/>
          </w:tcPr>
          <w:p w14:paraId="7A272D1E"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c>
          <w:tcPr>
            <w:tcW w:w="426" w:type="dxa"/>
            <w:tcBorders>
              <w:top w:val="nil"/>
              <w:left w:val="nil"/>
              <w:bottom w:val="nil"/>
              <w:right w:val="nil"/>
            </w:tcBorders>
            <w:shd w:val="clear" w:color="auto" w:fill="auto"/>
            <w:noWrap/>
            <w:vAlign w:val="bottom"/>
            <w:hideMark/>
          </w:tcPr>
          <w:p w14:paraId="4BFACB10"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noWrap/>
            <w:vAlign w:val="center"/>
            <w:hideMark/>
          </w:tcPr>
          <w:p w14:paraId="6F4D05B1"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Vorname</w:t>
            </w:r>
          </w:p>
        </w:tc>
        <w:tc>
          <w:tcPr>
            <w:tcW w:w="1200" w:type="dxa"/>
            <w:tcBorders>
              <w:top w:val="nil"/>
              <w:left w:val="nil"/>
              <w:bottom w:val="single" w:sz="8" w:space="0" w:color="auto"/>
              <w:right w:val="single" w:sz="8" w:space="0" w:color="auto"/>
            </w:tcBorders>
            <w:shd w:val="clear" w:color="auto" w:fill="auto"/>
            <w:noWrap/>
            <w:vAlign w:val="center"/>
            <w:hideMark/>
          </w:tcPr>
          <w:p w14:paraId="78E0522E"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200" w:type="dxa"/>
            <w:tcBorders>
              <w:top w:val="nil"/>
              <w:left w:val="nil"/>
              <w:bottom w:val="single" w:sz="8" w:space="0" w:color="auto"/>
              <w:right w:val="single" w:sz="8" w:space="0" w:color="auto"/>
            </w:tcBorders>
            <w:shd w:val="clear" w:color="auto" w:fill="auto"/>
            <w:noWrap/>
            <w:vAlign w:val="center"/>
            <w:hideMark/>
          </w:tcPr>
          <w:p w14:paraId="50BDAAB7"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869" w:type="dxa"/>
            <w:tcBorders>
              <w:top w:val="nil"/>
              <w:left w:val="nil"/>
              <w:bottom w:val="single" w:sz="8" w:space="0" w:color="auto"/>
              <w:right w:val="single" w:sz="8" w:space="0" w:color="auto"/>
            </w:tcBorders>
            <w:shd w:val="clear" w:color="auto" w:fill="auto"/>
            <w:noWrap/>
            <w:vAlign w:val="center"/>
            <w:hideMark/>
          </w:tcPr>
          <w:p w14:paraId="174B2000"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r>
      <w:tr w:rsidR="001D0CB2" w14:paraId="3D04A6BB"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72FB54B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Käthe</w:t>
            </w:r>
          </w:p>
        </w:tc>
        <w:tc>
          <w:tcPr>
            <w:tcW w:w="1200" w:type="dxa"/>
            <w:tcBorders>
              <w:top w:val="nil"/>
              <w:left w:val="nil"/>
              <w:bottom w:val="single" w:sz="8" w:space="0" w:color="auto"/>
              <w:right w:val="single" w:sz="8" w:space="0" w:color="auto"/>
            </w:tcBorders>
            <w:shd w:val="clear" w:color="auto" w:fill="auto"/>
            <w:vAlign w:val="bottom"/>
            <w:hideMark/>
          </w:tcPr>
          <w:p w14:paraId="2EED754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Albers</w:t>
            </w:r>
          </w:p>
        </w:tc>
        <w:tc>
          <w:tcPr>
            <w:tcW w:w="1200" w:type="dxa"/>
            <w:tcBorders>
              <w:top w:val="nil"/>
              <w:left w:val="nil"/>
              <w:bottom w:val="single" w:sz="8" w:space="0" w:color="auto"/>
              <w:right w:val="single" w:sz="8" w:space="0" w:color="auto"/>
            </w:tcBorders>
            <w:shd w:val="clear" w:color="auto" w:fill="auto"/>
            <w:vAlign w:val="bottom"/>
            <w:hideMark/>
          </w:tcPr>
          <w:p w14:paraId="66B8F03E"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27.05.1975</w:t>
            </w:r>
          </w:p>
        </w:tc>
        <w:tc>
          <w:tcPr>
            <w:tcW w:w="951" w:type="dxa"/>
            <w:tcBorders>
              <w:top w:val="nil"/>
              <w:left w:val="nil"/>
              <w:bottom w:val="single" w:sz="8" w:space="0" w:color="auto"/>
              <w:right w:val="single" w:sz="8" w:space="0" w:color="auto"/>
            </w:tcBorders>
            <w:shd w:val="clear" w:color="auto" w:fill="auto"/>
            <w:noWrap/>
            <w:vAlign w:val="bottom"/>
            <w:hideMark/>
          </w:tcPr>
          <w:p w14:paraId="5FE5775A"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C83.0</w:t>
            </w:r>
          </w:p>
        </w:tc>
        <w:tc>
          <w:tcPr>
            <w:tcW w:w="426" w:type="dxa"/>
            <w:tcBorders>
              <w:top w:val="nil"/>
              <w:left w:val="nil"/>
              <w:bottom w:val="nil"/>
              <w:right w:val="nil"/>
            </w:tcBorders>
            <w:shd w:val="clear" w:color="auto" w:fill="auto"/>
            <w:noWrap/>
            <w:vAlign w:val="bottom"/>
            <w:hideMark/>
          </w:tcPr>
          <w:p w14:paraId="0120A911"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5D029DD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Uwe</w:t>
            </w:r>
          </w:p>
        </w:tc>
        <w:tc>
          <w:tcPr>
            <w:tcW w:w="1200" w:type="dxa"/>
            <w:tcBorders>
              <w:top w:val="nil"/>
              <w:left w:val="nil"/>
              <w:bottom w:val="single" w:sz="8" w:space="0" w:color="auto"/>
              <w:right w:val="single" w:sz="8" w:space="0" w:color="auto"/>
            </w:tcBorders>
            <w:shd w:val="clear" w:color="auto" w:fill="auto"/>
            <w:vAlign w:val="bottom"/>
            <w:hideMark/>
          </w:tcPr>
          <w:p w14:paraId="486DD81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Albers</w:t>
            </w:r>
          </w:p>
        </w:tc>
        <w:tc>
          <w:tcPr>
            <w:tcW w:w="1200" w:type="dxa"/>
            <w:tcBorders>
              <w:top w:val="nil"/>
              <w:left w:val="nil"/>
              <w:bottom w:val="single" w:sz="8" w:space="0" w:color="auto"/>
              <w:right w:val="single" w:sz="8" w:space="0" w:color="auto"/>
            </w:tcBorders>
            <w:shd w:val="clear" w:color="auto" w:fill="auto"/>
            <w:vAlign w:val="bottom"/>
            <w:hideMark/>
          </w:tcPr>
          <w:p w14:paraId="3908866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28.08.1991</w:t>
            </w:r>
          </w:p>
        </w:tc>
        <w:tc>
          <w:tcPr>
            <w:tcW w:w="869" w:type="dxa"/>
            <w:tcBorders>
              <w:top w:val="nil"/>
              <w:left w:val="nil"/>
              <w:bottom w:val="single" w:sz="8" w:space="0" w:color="auto"/>
              <w:right w:val="single" w:sz="8" w:space="0" w:color="auto"/>
            </w:tcBorders>
            <w:shd w:val="clear" w:color="auto" w:fill="auto"/>
            <w:noWrap/>
            <w:vAlign w:val="bottom"/>
            <w:hideMark/>
          </w:tcPr>
          <w:p w14:paraId="171934A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C16.3</w:t>
            </w:r>
          </w:p>
        </w:tc>
      </w:tr>
      <w:tr w:rsidR="001D0CB2" w14:paraId="542D0FE0"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767D2E25" w14:textId="77777777" w:rsidR="001D0CB2" w:rsidRDefault="00E27FE2">
            <w:pPr>
              <w:spacing w:after="0" w:line="240" w:lineRule="auto"/>
              <w:jc w:val="left"/>
              <w:rPr>
                <w:rFonts w:ascii="Calibri" w:eastAsia="Times New Roman" w:hAnsi="Calibri" w:cs="Times New Roman"/>
                <w:color w:val="000000"/>
                <w:lang w:eastAsia="de-DE"/>
              </w:rPr>
            </w:pPr>
            <w:proofErr w:type="spellStart"/>
            <w:r w:rsidRPr="006C6D59">
              <w:rPr>
                <w:rFonts w:ascii="Calibri" w:eastAsia="Times New Roman" w:hAnsi="Calibri" w:cs="Times New Roman"/>
                <w:color w:val="000000"/>
                <w:lang w:eastAsia="de-DE"/>
              </w:rPr>
              <w:t>Fieda</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3B6035F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Fischer</w:t>
            </w:r>
          </w:p>
        </w:tc>
        <w:tc>
          <w:tcPr>
            <w:tcW w:w="1200" w:type="dxa"/>
            <w:tcBorders>
              <w:top w:val="nil"/>
              <w:left w:val="nil"/>
              <w:bottom w:val="single" w:sz="8" w:space="0" w:color="auto"/>
              <w:right w:val="single" w:sz="8" w:space="0" w:color="auto"/>
            </w:tcBorders>
            <w:shd w:val="clear" w:color="auto" w:fill="auto"/>
            <w:vAlign w:val="bottom"/>
            <w:hideMark/>
          </w:tcPr>
          <w:p w14:paraId="7502BCD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15.11.1987</w:t>
            </w:r>
          </w:p>
        </w:tc>
        <w:tc>
          <w:tcPr>
            <w:tcW w:w="951" w:type="dxa"/>
            <w:tcBorders>
              <w:top w:val="nil"/>
              <w:left w:val="nil"/>
              <w:bottom w:val="single" w:sz="8" w:space="0" w:color="auto"/>
              <w:right w:val="single" w:sz="8" w:space="0" w:color="auto"/>
            </w:tcBorders>
            <w:shd w:val="clear" w:color="auto" w:fill="auto"/>
            <w:noWrap/>
            <w:vAlign w:val="bottom"/>
            <w:hideMark/>
          </w:tcPr>
          <w:p w14:paraId="0514415B"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C50.8</w:t>
            </w:r>
          </w:p>
        </w:tc>
        <w:tc>
          <w:tcPr>
            <w:tcW w:w="426" w:type="dxa"/>
            <w:tcBorders>
              <w:top w:val="nil"/>
              <w:left w:val="nil"/>
              <w:bottom w:val="nil"/>
              <w:right w:val="nil"/>
            </w:tcBorders>
            <w:shd w:val="clear" w:color="auto" w:fill="auto"/>
            <w:noWrap/>
            <w:vAlign w:val="bottom"/>
            <w:hideMark/>
          </w:tcPr>
          <w:p w14:paraId="751BF63B"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4CC21BC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Michael</w:t>
            </w:r>
          </w:p>
        </w:tc>
        <w:tc>
          <w:tcPr>
            <w:tcW w:w="1200" w:type="dxa"/>
            <w:tcBorders>
              <w:top w:val="nil"/>
              <w:left w:val="nil"/>
              <w:bottom w:val="single" w:sz="8" w:space="0" w:color="auto"/>
              <w:right w:val="single" w:sz="8" w:space="0" w:color="auto"/>
            </w:tcBorders>
            <w:shd w:val="clear" w:color="auto" w:fill="auto"/>
            <w:vAlign w:val="bottom"/>
            <w:hideMark/>
          </w:tcPr>
          <w:p w14:paraId="4DB0CCA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Fischer</w:t>
            </w:r>
          </w:p>
        </w:tc>
        <w:tc>
          <w:tcPr>
            <w:tcW w:w="1200" w:type="dxa"/>
            <w:tcBorders>
              <w:top w:val="nil"/>
              <w:left w:val="nil"/>
              <w:bottom w:val="single" w:sz="8" w:space="0" w:color="auto"/>
              <w:right w:val="single" w:sz="8" w:space="0" w:color="auto"/>
            </w:tcBorders>
            <w:shd w:val="clear" w:color="auto" w:fill="auto"/>
            <w:vAlign w:val="bottom"/>
            <w:hideMark/>
          </w:tcPr>
          <w:p w14:paraId="12A80C5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31.03.1988</w:t>
            </w:r>
          </w:p>
        </w:tc>
        <w:tc>
          <w:tcPr>
            <w:tcW w:w="869" w:type="dxa"/>
            <w:tcBorders>
              <w:top w:val="nil"/>
              <w:left w:val="nil"/>
              <w:bottom w:val="single" w:sz="8" w:space="0" w:color="auto"/>
              <w:right w:val="single" w:sz="8" w:space="0" w:color="auto"/>
            </w:tcBorders>
            <w:shd w:val="clear" w:color="auto" w:fill="auto"/>
            <w:noWrap/>
            <w:vAlign w:val="bottom"/>
            <w:hideMark/>
          </w:tcPr>
          <w:p w14:paraId="53ED5D9C"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C18.4</w:t>
            </w:r>
          </w:p>
        </w:tc>
      </w:tr>
      <w:tr w:rsidR="001D0CB2" w14:paraId="1FC1EAE1"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5FC6D4E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Kunigunde</w:t>
            </w:r>
          </w:p>
        </w:tc>
        <w:tc>
          <w:tcPr>
            <w:tcW w:w="1200" w:type="dxa"/>
            <w:tcBorders>
              <w:top w:val="nil"/>
              <w:left w:val="nil"/>
              <w:bottom w:val="single" w:sz="8" w:space="0" w:color="auto"/>
              <w:right w:val="single" w:sz="8" w:space="0" w:color="auto"/>
            </w:tcBorders>
            <w:shd w:val="clear" w:color="auto" w:fill="auto"/>
            <w:vAlign w:val="bottom"/>
            <w:hideMark/>
          </w:tcPr>
          <w:p w14:paraId="69E345B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Gewaltig</w:t>
            </w:r>
          </w:p>
        </w:tc>
        <w:tc>
          <w:tcPr>
            <w:tcW w:w="1200" w:type="dxa"/>
            <w:tcBorders>
              <w:top w:val="nil"/>
              <w:left w:val="nil"/>
              <w:bottom w:val="single" w:sz="8" w:space="0" w:color="auto"/>
              <w:right w:val="single" w:sz="8" w:space="0" w:color="auto"/>
            </w:tcBorders>
            <w:shd w:val="clear" w:color="auto" w:fill="auto"/>
            <w:vAlign w:val="bottom"/>
            <w:hideMark/>
          </w:tcPr>
          <w:p w14:paraId="4EF5569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21.01.1969</w:t>
            </w:r>
          </w:p>
        </w:tc>
        <w:tc>
          <w:tcPr>
            <w:tcW w:w="951" w:type="dxa"/>
            <w:tcBorders>
              <w:top w:val="nil"/>
              <w:left w:val="nil"/>
              <w:bottom w:val="single" w:sz="8" w:space="0" w:color="auto"/>
              <w:right w:val="single" w:sz="8" w:space="0" w:color="auto"/>
            </w:tcBorders>
            <w:shd w:val="clear" w:color="auto" w:fill="auto"/>
            <w:noWrap/>
            <w:vAlign w:val="bottom"/>
            <w:hideMark/>
          </w:tcPr>
          <w:p w14:paraId="3508B188" w14:textId="77777777" w:rsidR="001D0CB2" w:rsidRDefault="00E27FE2">
            <w:pPr>
              <w:spacing w:after="0" w:line="240" w:lineRule="auto"/>
              <w:jc w:val="left"/>
              <w:rPr>
                <w:rFonts w:ascii="Calibri" w:eastAsia="Times New Roman" w:hAnsi="Calibri" w:cs="Times New Roman"/>
                <w:color w:val="000000"/>
                <w:lang w:eastAsia="de-DE"/>
              </w:rPr>
            </w:pPr>
            <w:r w:rsidRPr="00F215B1">
              <w:rPr>
                <w:rFonts w:ascii="Calibri" w:eastAsia="Times New Roman" w:hAnsi="Calibri" w:cs="Times New Roman"/>
                <w:color w:val="000000"/>
                <w:lang w:eastAsia="de-DE"/>
              </w:rPr>
              <w:t>C91.10</w:t>
            </w:r>
          </w:p>
        </w:tc>
        <w:tc>
          <w:tcPr>
            <w:tcW w:w="426" w:type="dxa"/>
            <w:tcBorders>
              <w:top w:val="nil"/>
              <w:left w:val="nil"/>
              <w:bottom w:val="nil"/>
              <w:right w:val="nil"/>
            </w:tcBorders>
            <w:shd w:val="clear" w:color="auto" w:fill="auto"/>
            <w:noWrap/>
            <w:vAlign w:val="bottom"/>
            <w:hideMark/>
          </w:tcPr>
          <w:p w14:paraId="298F88D9"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0281A98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Kunigunde</w:t>
            </w:r>
          </w:p>
        </w:tc>
        <w:tc>
          <w:tcPr>
            <w:tcW w:w="1200" w:type="dxa"/>
            <w:tcBorders>
              <w:top w:val="nil"/>
              <w:left w:val="nil"/>
              <w:bottom w:val="single" w:sz="8" w:space="0" w:color="auto"/>
              <w:right w:val="single" w:sz="8" w:space="0" w:color="auto"/>
            </w:tcBorders>
            <w:shd w:val="clear" w:color="auto" w:fill="auto"/>
            <w:vAlign w:val="bottom"/>
            <w:hideMark/>
          </w:tcPr>
          <w:p w14:paraId="4351587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Gewaltig</w:t>
            </w:r>
          </w:p>
        </w:tc>
        <w:tc>
          <w:tcPr>
            <w:tcW w:w="1200" w:type="dxa"/>
            <w:tcBorders>
              <w:top w:val="nil"/>
              <w:left w:val="nil"/>
              <w:bottom w:val="single" w:sz="8" w:space="0" w:color="auto"/>
              <w:right w:val="single" w:sz="8" w:space="0" w:color="auto"/>
            </w:tcBorders>
            <w:shd w:val="clear" w:color="auto" w:fill="auto"/>
            <w:vAlign w:val="bottom"/>
            <w:hideMark/>
          </w:tcPr>
          <w:p w14:paraId="22BB9E7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15.11.1987</w:t>
            </w:r>
          </w:p>
        </w:tc>
        <w:tc>
          <w:tcPr>
            <w:tcW w:w="869" w:type="dxa"/>
            <w:tcBorders>
              <w:top w:val="nil"/>
              <w:left w:val="nil"/>
              <w:bottom w:val="single" w:sz="8" w:space="0" w:color="auto"/>
              <w:right w:val="single" w:sz="8" w:space="0" w:color="auto"/>
            </w:tcBorders>
            <w:shd w:val="clear" w:color="auto" w:fill="auto"/>
            <w:noWrap/>
            <w:vAlign w:val="bottom"/>
            <w:hideMark/>
          </w:tcPr>
          <w:p w14:paraId="12BAB517"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C43.9</w:t>
            </w:r>
          </w:p>
        </w:tc>
      </w:tr>
      <w:tr w:rsidR="001D0CB2" w14:paraId="40EA047F"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D5C841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Franz</w:t>
            </w:r>
          </w:p>
        </w:tc>
        <w:tc>
          <w:tcPr>
            <w:tcW w:w="1200" w:type="dxa"/>
            <w:tcBorders>
              <w:top w:val="nil"/>
              <w:left w:val="nil"/>
              <w:bottom w:val="single" w:sz="8" w:space="0" w:color="auto"/>
              <w:right w:val="single" w:sz="8" w:space="0" w:color="auto"/>
            </w:tcBorders>
            <w:shd w:val="clear" w:color="auto" w:fill="auto"/>
            <w:vAlign w:val="bottom"/>
            <w:hideMark/>
          </w:tcPr>
          <w:p w14:paraId="1143613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Herrlich</w:t>
            </w:r>
          </w:p>
        </w:tc>
        <w:tc>
          <w:tcPr>
            <w:tcW w:w="1200" w:type="dxa"/>
            <w:tcBorders>
              <w:top w:val="nil"/>
              <w:left w:val="nil"/>
              <w:bottom w:val="single" w:sz="8" w:space="0" w:color="auto"/>
              <w:right w:val="single" w:sz="8" w:space="0" w:color="auto"/>
            </w:tcBorders>
            <w:shd w:val="clear" w:color="auto" w:fill="auto"/>
            <w:vAlign w:val="bottom"/>
            <w:hideMark/>
          </w:tcPr>
          <w:p w14:paraId="60F510C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17.11.1967</w:t>
            </w:r>
          </w:p>
        </w:tc>
        <w:tc>
          <w:tcPr>
            <w:tcW w:w="951" w:type="dxa"/>
            <w:tcBorders>
              <w:top w:val="nil"/>
              <w:left w:val="nil"/>
              <w:bottom w:val="single" w:sz="8" w:space="0" w:color="auto"/>
              <w:right w:val="single" w:sz="8" w:space="0" w:color="auto"/>
            </w:tcBorders>
            <w:shd w:val="clear" w:color="auto" w:fill="auto"/>
            <w:noWrap/>
            <w:vAlign w:val="bottom"/>
            <w:hideMark/>
          </w:tcPr>
          <w:p w14:paraId="3491C36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D12.8</w:t>
            </w:r>
          </w:p>
        </w:tc>
        <w:tc>
          <w:tcPr>
            <w:tcW w:w="426" w:type="dxa"/>
            <w:tcBorders>
              <w:top w:val="nil"/>
              <w:left w:val="nil"/>
              <w:bottom w:val="nil"/>
              <w:right w:val="nil"/>
            </w:tcBorders>
            <w:shd w:val="clear" w:color="auto" w:fill="auto"/>
            <w:noWrap/>
            <w:vAlign w:val="bottom"/>
            <w:hideMark/>
          </w:tcPr>
          <w:p w14:paraId="57019B09"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73A57B9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Käthe</w:t>
            </w:r>
          </w:p>
        </w:tc>
        <w:tc>
          <w:tcPr>
            <w:tcW w:w="1200" w:type="dxa"/>
            <w:tcBorders>
              <w:top w:val="nil"/>
              <w:left w:val="nil"/>
              <w:bottom w:val="single" w:sz="8" w:space="0" w:color="auto"/>
              <w:right w:val="single" w:sz="8" w:space="0" w:color="auto"/>
            </w:tcBorders>
            <w:shd w:val="clear" w:color="auto" w:fill="auto"/>
            <w:vAlign w:val="bottom"/>
            <w:hideMark/>
          </w:tcPr>
          <w:p w14:paraId="2E83291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Herrlich</w:t>
            </w:r>
          </w:p>
        </w:tc>
        <w:tc>
          <w:tcPr>
            <w:tcW w:w="1200" w:type="dxa"/>
            <w:tcBorders>
              <w:top w:val="nil"/>
              <w:left w:val="nil"/>
              <w:bottom w:val="single" w:sz="8" w:space="0" w:color="auto"/>
              <w:right w:val="single" w:sz="8" w:space="0" w:color="auto"/>
            </w:tcBorders>
            <w:shd w:val="clear" w:color="auto" w:fill="auto"/>
            <w:vAlign w:val="bottom"/>
            <w:hideMark/>
          </w:tcPr>
          <w:p w14:paraId="78CC647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15.07.1987</w:t>
            </w:r>
          </w:p>
        </w:tc>
        <w:tc>
          <w:tcPr>
            <w:tcW w:w="869" w:type="dxa"/>
            <w:tcBorders>
              <w:top w:val="nil"/>
              <w:left w:val="nil"/>
              <w:bottom w:val="single" w:sz="8" w:space="0" w:color="auto"/>
              <w:right w:val="single" w:sz="8" w:space="0" w:color="auto"/>
            </w:tcBorders>
            <w:shd w:val="clear" w:color="auto" w:fill="auto"/>
            <w:noWrap/>
            <w:vAlign w:val="bottom"/>
            <w:hideMark/>
          </w:tcPr>
          <w:p w14:paraId="5436446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C50.1</w:t>
            </w:r>
          </w:p>
        </w:tc>
      </w:tr>
      <w:tr w:rsidR="001D0CB2" w14:paraId="085E9197"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CBB4C02" w14:textId="77777777" w:rsidR="001D0CB2" w:rsidRDefault="00E27FE2">
            <w:pPr>
              <w:spacing w:after="0" w:line="240" w:lineRule="auto"/>
              <w:jc w:val="left"/>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Gerfriede</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685FDAB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Jensen</w:t>
            </w:r>
          </w:p>
        </w:tc>
        <w:tc>
          <w:tcPr>
            <w:tcW w:w="1200" w:type="dxa"/>
            <w:tcBorders>
              <w:top w:val="nil"/>
              <w:left w:val="nil"/>
              <w:bottom w:val="single" w:sz="8" w:space="0" w:color="auto"/>
              <w:right w:val="single" w:sz="8" w:space="0" w:color="auto"/>
            </w:tcBorders>
            <w:shd w:val="clear" w:color="auto" w:fill="auto"/>
            <w:vAlign w:val="bottom"/>
            <w:hideMark/>
          </w:tcPr>
          <w:p w14:paraId="40559CC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23.07.1983</w:t>
            </w:r>
          </w:p>
        </w:tc>
        <w:tc>
          <w:tcPr>
            <w:tcW w:w="951" w:type="dxa"/>
            <w:tcBorders>
              <w:top w:val="nil"/>
              <w:left w:val="nil"/>
              <w:bottom w:val="single" w:sz="8" w:space="0" w:color="auto"/>
              <w:right w:val="single" w:sz="8" w:space="0" w:color="auto"/>
            </w:tcBorders>
            <w:shd w:val="clear" w:color="auto" w:fill="auto"/>
            <w:noWrap/>
            <w:vAlign w:val="bottom"/>
            <w:hideMark/>
          </w:tcPr>
          <w:p w14:paraId="2F6C6E6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C50.1</w:t>
            </w:r>
          </w:p>
        </w:tc>
        <w:tc>
          <w:tcPr>
            <w:tcW w:w="426" w:type="dxa"/>
            <w:tcBorders>
              <w:top w:val="nil"/>
              <w:left w:val="nil"/>
              <w:bottom w:val="nil"/>
              <w:right w:val="nil"/>
            </w:tcBorders>
            <w:shd w:val="clear" w:color="auto" w:fill="auto"/>
            <w:noWrap/>
            <w:vAlign w:val="bottom"/>
            <w:hideMark/>
          </w:tcPr>
          <w:p w14:paraId="6DD39B9C"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6A05B31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Jürgen</w:t>
            </w:r>
          </w:p>
        </w:tc>
        <w:tc>
          <w:tcPr>
            <w:tcW w:w="1200" w:type="dxa"/>
            <w:tcBorders>
              <w:top w:val="nil"/>
              <w:left w:val="nil"/>
              <w:bottom w:val="single" w:sz="8" w:space="0" w:color="auto"/>
              <w:right w:val="single" w:sz="8" w:space="0" w:color="auto"/>
            </w:tcBorders>
            <w:shd w:val="clear" w:color="auto" w:fill="auto"/>
            <w:vAlign w:val="bottom"/>
            <w:hideMark/>
          </w:tcPr>
          <w:p w14:paraId="77B490A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Jensen</w:t>
            </w:r>
          </w:p>
        </w:tc>
        <w:tc>
          <w:tcPr>
            <w:tcW w:w="1200" w:type="dxa"/>
            <w:tcBorders>
              <w:top w:val="nil"/>
              <w:left w:val="nil"/>
              <w:bottom w:val="single" w:sz="8" w:space="0" w:color="auto"/>
              <w:right w:val="single" w:sz="8" w:space="0" w:color="auto"/>
            </w:tcBorders>
            <w:shd w:val="clear" w:color="auto" w:fill="auto"/>
            <w:vAlign w:val="bottom"/>
            <w:hideMark/>
          </w:tcPr>
          <w:p w14:paraId="651D8CC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29.11.1985</w:t>
            </w:r>
          </w:p>
        </w:tc>
        <w:tc>
          <w:tcPr>
            <w:tcW w:w="869" w:type="dxa"/>
            <w:tcBorders>
              <w:top w:val="nil"/>
              <w:left w:val="nil"/>
              <w:bottom w:val="single" w:sz="8" w:space="0" w:color="auto"/>
              <w:right w:val="single" w:sz="8" w:space="0" w:color="auto"/>
            </w:tcBorders>
            <w:shd w:val="clear" w:color="auto" w:fill="auto"/>
            <w:noWrap/>
            <w:vAlign w:val="bottom"/>
            <w:hideMark/>
          </w:tcPr>
          <w:p w14:paraId="39AEF7A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C50.3</w:t>
            </w:r>
          </w:p>
        </w:tc>
      </w:tr>
      <w:tr w:rsidR="001D0CB2" w14:paraId="636E65BA"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2F0406E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Berthold</w:t>
            </w:r>
          </w:p>
        </w:tc>
        <w:tc>
          <w:tcPr>
            <w:tcW w:w="1200" w:type="dxa"/>
            <w:tcBorders>
              <w:top w:val="nil"/>
              <w:left w:val="nil"/>
              <w:bottom w:val="single" w:sz="8" w:space="0" w:color="auto"/>
              <w:right w:val="single" w:sz="8" w:space="0" w:color="auto"/>
            </w:tcBorders>
            <w:shd w:val="clear" w:color="auto" w:fill="auto"/>
            <w:vAlign w:val="bottom"/>
            <w:hideMark/>
          </w:tcPr>
          <w:p w14:paraId="4888A1F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Koch</w:t>
            </w:r>
          </w:p>
        </w:tc>
        <w:tc>
          <w:tcPr>
            <w:tcW w:w="1200" w:type="dxa"/>
            <w:tcBorders>
              <w:top w:val="nil"/>
              <w:left w:val="nil"/>
              <w:bottom w:val="single" w:sz="8" w:space="0" w:color="auto"/>
              <w:right w:val="single" w:sz="8" w:space="0" w:color="auto"/>
            </w:tcBorders>
            <w:shd w:val="clear" w:color="auto" w:fill="auto"/>
            <w:vAlign w:val="bottom"/>
            <w:hideMark/>
          </w:tcPr>
          <w:p w14:paraId="3CBAF58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28.08.1991</w:t>
            </w:r>
          </w:p>
        </w:tc>
        <w:tc>
          <w:tcPr>
            <w:tcW w:w="951" w:type="dxa"/>
            <w:tcBorders>
              <w:top w:val="nil"/>
              <w:left w:val="nil"/>
              <w:bottom w:val="single" w:sz="8" w:space="0" w:color="auto"/>
              <w:right w:val="single" w:sz="8" w:space="0" w:color="auto"/>
            </w:tcBorders>
            <w:shd w:val="clear" w:color="auto" w:fill="auto"/>
            <w:noWrap/>
            <w:vAlign w:val="bottom"/>
            <w:hideMark/>
          </w:tcPr>
          <w:p w14:paraId="6B69D94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D12.6</w:t>
            </w:r>
          </w:p>
        </w:tc>
        <w:tc>
          <w:tcPr>
            <w:tcW w:w="426" w:type="dxa"/>
            <w:tcBorders>
              <w:top w:val="nil"/>
              <w:left w:val="nil"/>
              <w:bottom w:val="nil"/>
              <w:right w:val="nil"/>
            </w:tcBorders>
            <w:shd w:val="clear" w:color="auto" w:fill="auto"/>
            <w:noWrap/>
            <w:vAlign w:val="bottom"/>
            <w:hideMark/>
          </w:tcPr>
          <w:p w14:paraId="56C0D966"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3F60F3D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Jan</w:t>
            </w:r>
          </w:p>
        </w:tc>
        <w:tc>
          <w:tcPr>
            <w:tcW w:w="1200" w:type="dxa"/>
            <w:tcBorders>
              <w:top w:val="nil"/>
              <w:left w:val="nil"/>
              <w:bottom w:val="single" w:sz="8" w:space="0" w:color="auto"/>
              <w:right w:val="single" w:sz="8" w:space="0" w:color="auto"/>
            </w:tcBorders>
            <w:shd w:val="clear" w:color="auto" w:fill="auto"/>
            <w:vAlign w:val="bottom"/>
            <w:hideMark/>
          </w:tcPr>
          <w:p w14:paraId="0577A4D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Koch</w:t>
            </w:r>
          </w:p>
        </w:tc>
        <w:tc>
          <w:tcPr>
            <w:tcW w:w="1200" w:type="dxa"/>
            <w:tcBorders>
              <w:top w:val="nil"/>
              <w:left w:val="nil"/>
              <w:bottom w:val="single" w:sz="8" w:space="0" w:color="auto"/>
              <w:right w:val="single" w:sz="8" w:space="0" w:color="auto"/>
            </w:tcBorders>
            <w:shd w:val="clear" w:color="auto" w:fill="auto"/>
            <w:vAlign w:val="bottom"/>
            <w:hideMark/>
          </w:tcPr>
          <w:p w14:paraId="59FBEA9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23.07.1983</w:t>
            </w:r>
          </w:p>
        </w:tc>
        <w:tc>
          <w:tcPr>
            <w:tcW w:w="869" w:type="dxa"/>
            <w:tcBorders>
              <w:top w:val="nil"/>
              <w:left w:val="nil"/>
              <w:bottom w:val="single" w:sz="8" w:space="0" w:color="auto"/>
              <w:right w:val="single" w:sz="8" w:space="0" w:color="auto"/>
            </w:tcBorders>
            <w:shd w:val="clear" w:color="auto" w:fill="auto"/>
            <w:noWrap/>
            <w:vAlign w:val="bottom"/>
            <w:hideMark/>
          </w:tcPr>
          <w:p w14:paraId="3063102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C50.8</w:t>
            </w:r>
          </w:p>
        </w:tc>
      </w:tr>
      <w:tr w:rsidR="001D0CB2" w14:paraId="1C23EAD1"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1D41831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Michael</w:t>
            </w:r>
          </w:p>
        </w:tc>
        <w:tc>
          <w:tcPr>
            <w:tcW w:w="1200" w:type="dxa"/>
            <w:tcBorders>
              <w:top w:val="nil"/>
              <w:left w:val="nil"/>
              <w:bottom w:val="single" w:sz="8" w:space="0" w:color="auto"/>
              <w:right w:val="single" w:sz="8" w:space="0" w:color="auto"/>
            </w:tcBorders>
            <w:shd w:val="clear" w:color="auto" w:fill="auto"/>
            <w:vAlign w:val="bottom"/>
            <w:hideMark/>
          </w:tcPr>
          <w:p w14:paraId="754DC54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Matuschek</w:t>
            </w:r>
          </w:p>
        </w:tc>
        <w:tc>
          <w:tcPr>
            <w:tcW w:w="1200" w:type="dxa"/>
            <w:tcBorders>
              <w:top w:val="nil"/>
              <w:left w:val="nil"/>
              <w:bottom w:val="single" w:sz="8" w:space="0" w:color="auto"/>
              <w:right w:val="single" w:sz="8" w:space="0" w:color="auto"/>
            </w:tcBorders>
            <w:shd w:val="clear" w:color="auto" w:fill="auto"/>
            <w:vAlign w:val="bottom"/>
            <w:hideMark/>
          </w:tcPr>
          <w:p w14:paraId="4395B45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13.04.1968</w:t>
            </w:r>
          </w:p>
        </w:tc>
        <w:tc>
          <w:tcPr>
            <w:tcW w:w="951" w:type="dxa"/>
            <w:tcBorders>
              <w:top w:val="nil"/>
              <w:left w:val="nil"/>
              <w:bottom w:val="single" w:sz="8" w:space="0" w:color="auto"/>
              <w:right w:val="single" w:sz="8" w:space="0" w:color="auto"/>
            </w:tcBorders>
            <w:shd w:val="clear" w:color="auto" w:fill="auto"/>
            <w:noWrap/>
            <w:vAlign w:val="bottom"/>
            <w:hideMark/>
          </w:tcPr>
          <w:p w14:paraId="61346A82"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D46.2</w:t>
            </w:r>
          </w:p>
        </w:tc>
        <w:tc>
          <w:tcPr>
            <w:tcW w:w="426" w:type="dxa"/>
            <w:tcBorders>
              <w:top w:val="nil"/>
              <w:left w:val="nil"/>
              <w:bottom w:val="nil"/>
              <w:right w:val="nil"/>
            </w:tcBorders>
            <w:shd w:val="clear" w:color="auto" w:fill="auto"/>
            <w:noWrap/>
            <w:vAlign w:val="bottom"/>
            <w:hideMark/>
          </w:tcPr>
          <w:p w14:paraId="32E6F590"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6167643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Hugo-Egon</w:t>
            </w:r>
          </w:p>
        </w:tc>
        <w:tc>
          <w:tcPr>
            <w:tcW w:w="1200" w:type="dxa"/>
            <w:tcBorders>
              <w:top w:val="nil"/>
              <w:left w:val="nil"/>
              <w:bottom w:val="single" w:sz="8" w:space="0" w:color="auto"/>
              <w:right w:val="single" w:sz="8" w:space="0" w:color="auto"/>
            </w:tcBorders>
            <w:shd w:val="clear" w:color="auto" w:fill="auto"/>
            <w:vAlign w:val="bottom"/>
            <w:hideMark/>
          </w:tcPr>
          <w:p w14:paraId="567C4FB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Matuschek</w:t>
            </w:r>
          </w:p>
        </w:tc>
        <w:tc>
          <w:tcPr>
            <w:tcW w:w="1200" w:type="dxa"/>
            <w:tcBorders>
              <w:top w:val="nil"/>
              <w:left w:val="nil"/>
              <w:bottom w:val="single" w:sz="8" w:space="0" w:color="auto"/>
              <w:right w:val="single" w:sz="8" w:space="0" w:color="auto"/>
            </w:tcBorders>
            <w:shd w:val="clear" w:color="auto" w:fill="auto"/>
            <w:vAlign w:val="bottom"/>
            <w:hideMark/>
          </w:tcPr>
          <w:p w14:paraId="7A0B397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11.05.1983</w:t>
            </w:r>
          </w:p>
        </w:tc>
        <w:tc>
          <w:tcPr>
            <w:tcW w:w="869" w:type="dxa"/>
            <w:tcBorders>
              <w:top w:val="nil"/>
              <w:left w:val="nil"/>
              <w:bottom w:val="single" w:sz="8" w:space="0" w:color="auto"/>
              <w:right w:val="single" w:sz="8" w:space="0" w:color="auto"/>
            </w:tcBorders>
            <w:shd w:val="clear" w:color="auto" w:fill="auto"/>
            <w:noWrap/>
            <w:vAlign w:val="bottom"/>
            <w:hideMark/>
          </w:tcPr>
          <w:p w14:paraId="1BA821C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C83.0</w:t>
            </w:r>
          </w:p>
        </w:tc>
      </w:tr>
      <w:tr w:rsidR="001D0CB2" w14:paraId="66BF56B3"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28F4178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Hugo-Egon</w:t>
            </w:r>
          </w:p>
        </w:tc>
        <w:tc>
          <w:tcPr>
            <w:tcW w:w="1200" w:type="dxa"/>
            <w:tcBorders>
              <w:top w:val="nil"/>
              <w:left w:val="nil"/>
              <w:bottom w:val="single" w:sz="8" w:space="0" w:color="auto"/>
              <w:right w:val="single" w:sz="8" w:space="0" w:color="auto"/>
            </w:tcBorders>
            <w:shd w:val="clear" w:color="auto" w:fill="auto"/>
            <w:vAlign w:val="bottom"/>
            <w:hideMark/>
          </w:tcPr>
          <w:p w14:paraId="3736D04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Meyer</w:t>
            </w:r>
          </w:p>
        </w:tc>
        <w:tc>
          <w:tcPr>
            <w:tcW w:w="1200" w:type="dxa"/>
            <w:tcBorders>
              <w:top w:val="nil"/>
              <w:left w:val="nil"/>
              <w:bottom w:val="single" w:sz="8" w:space="0" w:color="auto"/>
              <w:right w:val="single" w:sz="8" w:space="0" w:color="auto"/>
            </w:tcBorders>
            <w:shd w:val="clear" w:color="auto" w:fill="auto"/>
            <w:vAlign w:val="bottom"/>
            <w:hideMark/>
          </w:tcPr>
          <w:p w14:paraId="4CE1563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27.08.1977</w:t>
            </w:r>
          </w:p>
        </w:tc>
        <w:tc>
          <w:tcPr>
            <w:tcW w:w="951" w:type="dxa"/>
            <w:tcBorders>
              <w:top w:val="nil"/>
              <w:left w:val="nil"/>
              <w:bottom w:val="single" w:sz="8" w:space="0" w:color="auto"/>
              <w:right w:val="single" w:sz="8" w:space="0" w:color="auto"/>
            </w:tcBorders>
            <w:shd w:val="clear" w:color="auto" w:fill="auto"/>
            <w:noWrap/>
            <w:vAlign w:val="bottom"/>
            <w:hideMark/>
          </w:tcPr>
          <w:p w14:paraId="7BB6343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C85.9</w:t>
            </w:r>
          </w:p>
        </w:tc>
        <w:tc>
          <w:tcPr>
            <w:tcW w:w="426" w:type="dxa"/>
            <w:tcBorders>
              <w:top w:val="nil"/>
              <w:left w:val="nil"/>
              <w:bottom w:val="nil"/>
              <w:right w:val="nil"/>
            </w:tcBorders>
            <w:shd w:val="clear" w:color="auto" w:fill="auto"/>
            <w:noWrap/>
            <w:vAlign w:val="bottom"/>
            <w:hideMark/>
          </w:tcPr>
          <w:p w14:paraId="17FDAB20"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799AA46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Hiltrud</w:t>
            </w:r>
          </w:p>
        </w:tc>
        <w:tc>
          <w:tcPr>
            <w:tcW w:w="1200" w:type="dxa"/>
            <w:tcBorders>
              <w:top w:val="nil"/>
              <w:left w:val="nil"/>
              <w:bottom w:val="single" w:sz="8" w:space="0" w:color="auto"/>
              <w:right w:val="single" w:sz="8" w:space="0" w:color="auto"/>
            </w:tcBorders>
            <w:shd w:val="clear" w:color="auto" w:fill="auto"/>
            <w:vAlign w:val="bottom"/>
            <w:hideMark/>
          </w:tcPr>
          <w:p w14:paraId="3CA1924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Meyer</w:t>
            </w:r>
          </w:p>
        </w:tc>
        <w:tc>
          <w:tcPr>
            <w:tcW w:w="1200" w:type="dxa"/>
            <w:tcBorders>
              <w:top w:val="nil"/>
              <w:left w:val="nil"/>
              <w:bottom w:val="single" w:sz="8" w:space="0" w:color="auto"/>
              <w:right w:val="single" w:sz="8" w:space="0" w:color="auto"/>
            </w:tcBorders>
            <w:shd w:val="clear" w:color="auto" w:fill="auto"/>
            <w:vAlign w:val="bottom"/>
            <w:hideMark/>
          </w:tcPr>
          <w:p w14:paraId="1D74A04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23.12.1981</w:t>
            </w:r>
          </w:p>
        </w:tc>
        <w:tc>
          <w:tcPr>
            <w:tcW w:w="869" w:type="dxa"/>
            <w:tcBorders>
              <w:top w:val="nil"/>
              <w:left w:val="nil"/>
              <w:bottom w:val="single" w:sz="8" w:space="0" w:color="auto"/>
              <w:right w:val="single" w:sz="8" w:space="0" w:color="auto"/>
            </w:tcBorders>
            <w:shd w:val="clear" w:color="auto" w:fill="auto"/>
            <w:noWrap/>
            <w:vAlign w:val="bottom"/>
            <w:hideMark/>
          </w:tcPr>
          <w:p w14:paraId="1E34B2E2"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C85.9</w:t>
            </w:r>
          </w:p>
        </w:tc>
      </w:tr>
      <w:tr w:rsidR="001D0CB2" w14:paraId="664CAD58"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556DFF9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Uwe</w:t>
            </w:r>
          </w:p>
        </w:tc>
        <w:tc>
          <w:tcPr>
            <w:tcW w:w="1200" w:type="dxa"/>
            <w:tcBorders>
              <w:top w:val="nil"/>
              <w:left w:val="nil"/>
              <w:bottom w:val="single" w:sz="8" w:space="0" w:color="auto"/>
              <w:right w:val="single" w:sz="8" w:space="0" w:color="auto"/>
            </w:tcBorders>
            <w:shd w:val="clear" w:color="auto" w:fill="auto"/>
            <w:vAlign w:val="bottom"/>
            <w:hideMark/>
          </w:tcPr>
          <w:p w14:paraId="77F4547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Müller</w:t>
            </w:r>
          </w:p>
        </w:tc>
        <w:tc>
          <w:tcPr>
            <w:tcW w:w="1200" w:type="dxa"/>
            <w:tcBorders>
              <w:top w:val="nil"/>
              <w:left w:val="nil"/>
              <w:bottom w:val="single" w:sz="8" w:space="0" w:color="auto"/>
              <w:right w:val="single" w:sz="8" w:space="0" w:color="auto"/>
            </w:tcBorders>
            <w:shd w:val="clear" w:color="auto" w:fill="auto"/>
            <w:vAlign w:val="bottom"/>
            <w:hideMark/>
          </w:tcPr>
          <w:p w14:paraId="735A6EE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31.03.1988</w:t>
            </w:r>
          </w:p>
        </w:tc>
        <w:tc>
          <w:tcPr>
            <w:tcW w:w="951" w:type="dxa"/>
            <w:tcBorders>
              <w:top w:val="nil"/>
              <w:left w:val="nil"/>
              <w:bottom w:val="single" w:sz="8" w:space="0" w:color="auto"/>
              <w:right w:val="single" w:sz="8" w:space="0" w:color="auto"/>
            </w:tcBorders>
            <w:shd w:val="clear" w:color="auto" w:fill="auto"/>
            <w:noWrap/>
            <w:vAlign w:val="bottom"/>
            <w:hideMark/>
          </w:tcPr>
          <w:p w14:paraId="6F5D0A4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C16.3</w:t>
            </w:r>
          </w:p>
        </w:tc>
        <w:tc>
          <w:tcPr>
            <w:tcW w:w="426" w:type="dxa"/>
            <w:tcBorders>
              <w:top w:val="nil"/>
              <w:left w:val="nil"/>
              <w:bottom w:val="nil"/>
              <w:right w:val="nil"/>
            </w:tcBorders>
            <w:shd w:val="clear" w:color="auto" w:fill="auto"/>
            <w:noWrap/>
            <w:vAlign w:val="bottom"/>
            <w:hideMark/>
          </w:tcPr>
          <w:p w14:paraId="5F5F28F7"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60B3855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Heike</w:t>
            </w:r>
          </w:p>
        </w:tc>
        <w:tc>
          <w:tcPr>
            <w:tcW w:w="1200" w:type="dxa"/>
            <w:tcBorders>
              <w:top w:val="nil"/>
              <w:left w:val="nil"/>
              <w:bottom w:val="single" w:sz="8" w:space="0" w:color="auto"/>
              <w:right w:val="single" w:sz="8" w:space="0" w:color="auto"/>
            </w:tcBorders>
            <w:shd w:val="clear" w:color="auto" w:fill="auto"/>
            <w:vAlign w:val="bottom"/>
            <w:hideMark/>
          </w:tcPr>
          <w:p w14:paraId="620F2CE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Müller</w:t>
            </w:r>
          </w:p>
        </w:tc>
        <w:tc>
          <w:tcPr>
            <w:tcW w:w="1200" w:type="dxa"/>
            <w:tcBorders>
              <w:top w:val="nil"/>
              <w:left w:val="nil"/>
              <w:bottom w:val="single" w:sz="8" w:space="0" w:color="auto"/>
              <w:right w:val="single" w:sz="8" w:space="0" w:color="auto"/>
            </w:tcBorders>
            <w:shd w:val="clear" w:color="auto" w:fill="auto"/>
            <w:vAlign w:val="bottom"/>
            <w:hideMark/>
          </w:tcPr>
          <w:p w14:paraId="7B39782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01.04.1978</w:t>
            </w:r>
          </w:p>
        </w:tc>
        <w:tc>
          <w:tcPr>
            <w:tcW w:w="869" w:type="dxa"/>
            <w:tcBorders>
              <w:top w:val="nil"/>
              <w:left w:val="nil"/>
              <w:bottom w:val="single" w:sz="8" w:space="0" w:color="auto"/>
              <w:right w:val="single" w:sz="8" w:space="0" w:color="auto"/>
            </w:tcBorders>
            <w:shd w:val="clear" w:color="auto" w:fill="auto"/>
            <w:noWrap/>
            <w:vAlign w:val="bottom"/>
            <w:hideMark/>
          </w:tcPr>
          <w:p w14:paraId="66C31D6C" w14:textId="77777777" w:rsidR="001D0CB2" w:rsidRDefault="00E27FE2">
            <w:pPr>
              <w:spacing w:after="0" w:line="240" w:lineRule="auto"/>
              <w:jc w:val="left"/>
              <w:rPr>
                <w:rFonts w:ascii="Calibri" w:eastAsia="Times New Roman" w:hAnsi="Calibri" w:cs="Times New Roman"/>
                <w:color w:val="000000"/>
                <w:lang w:eastAsia="de-DE"/>
              </w:rPr>
            </w:pPr>
            <w:r w:rsidRPr="00F215B1">
              <w:rPr>
                <w:rFonts w:ascii="Calibri" w:eastAsia="Times New Roman" w:hAnsi="Calibri" w:cs="Times New Roman"/>
                <w:color w:val="000000"/>
                <w:lang w:eastAsia="de-DE"/>
              </w:rPr>
              <w:t>C91.10</w:t>
            </w:r>
          </w:p>
        </w:tc>
      </w:tr>
      <w:tr w:rsidR="00591FB4" w14:paraId="472C93E4" w14:textId="77777777" w:rsidTr="00591FB4">
        <w:trPr>
          <w:trHeight w:val="330"/>
        </w:trPr>
        <w:tc>
          <w:tcPr>
            <w:tcW w:w="4551" w:type="dxa"/>
            <w:gridSpan w:val="4"/>
            <w:tcBorders>
              <w:top w:val="nil"/>
              <w:left w:val="nil"/>
              <w:bottom w:val="single" w:sz="8" w:space="0" w:color="auto"/>
              <w:right w:val="nil"/>
            </w:tcBorders>
            <w:shd w:val="clear" w:color="auto" w:fill="auto"/>
            <w:noWrap/>
            <w:vAlign w:val="center"/>
            <w:hideMark/>
          </w:tcPr>
          <w:p w14:paraId="7A841BFD" w14:textId="77777777" w:rsidR="00591FB4" w:rsidRDefault="00591FB4" w:rsidP="00591FB4">
            <w:pPr>
              <w:spacing w:after="0" w:line="240" w:lineRule="auto"/>
              <w:jc w:val="center"/>
              <w:rPr>
                <w:rFonts w:ascii="Calibri" w:eastAsia="Times New Roman" w:hAnsi="Calibri" w:cs="Times New Roman"/>
                <w:b/>
                <w:bCs/>
                <w:color w:val="000000"/>
                <w:sz w:val="24"/>
                <w:szCs w:val="24"/>
                <w:lang w:eastAsia="de-DE"/>
              </w:rPr>
            </w:pPr>
            <w:r>
              <w:rPr>
                <w:rFonts w:ascii="Calibri" w:eastAsia="Times New Roman" w:hAnsi="Calibri" w:cs="Times New Roman"/>
                <w:b/>
                <w:bCs/>
                <w:color w:val="000000"/>
                <w:sz w:val="24"/>
                <w:szCs w:val="24"/>
                <w:lang w:eastAsia="de-DE"/>
              </w:rPr>
              <w:lastRenderedPageBreak/>
              <w:t>Original</w:t>
            </w:r>
          </w:p>
        </w:tc>
        <w:tc>
          <w:tcPr>
            <w:tcW w:w="426" w:type="dxa"/>
            <w:tcBorders>
              <w:top w:val="nil"/>
              <w:left w:val="nil"/>
              <w:bottom w:val="nil"/>
              <w:right w:val="nil"/>
            </w:tcBorders>
            <w:shd w:val="clear" w:color="auto" w:fill="auto"/>
            <w:noWrap/>
            <w:vAlign w:val="bottom"/>
            <w:hideMark/>
          </w:tcPr>
          <w:p w14:paraId="3932BFB5" w14:textId="77777777" w:rsidR="00591FB4" w:rsidRDefault="00591FB4" w:rsidP="00591FB4">
            <w:pPr>
              <w:spacing w:after="0" w:line="240" w:lineRule="auto"/>
              <w:jc w:val="left"/>
              <w:rPr>
                <w:rFonts w:ascii="Calibri" w:eastAsia="Times New Roman" w:hAnsi="Calibri" w:cs="Times New Roman"/>
                <w:color w:val="000000"/>
                <w:lang w:eastAsia="de-DE"/>
              </w:rPr>
            </w:pPr>
          </w:p>
        </w:tc>
        <w:tc>
          <w:tcPr>
            <w:tcW w:w="4501" w:type="dxa"/>
            <w:gridSpan w:val="4"/>
            <w:tcBorders>
              <w:top w:val="nil"/>
              <w:left w:val="nil"/>
              <w:bottom w:val="single" w:sz="8" w:space="0" w:color="auto"/>
              <w:right w:val="nil"/>
            </w:tcBorders>
            <w:shd w:val="clear" w:color="auto" w:fill="auto"/>
            <w:noWrap/>
            <w:vAlign w:val="center"/>
            <w:hideMark/>
          </w:tcPr>
          <w:p w14:paraId="6AF153E6" w14:textId="77777777" w:rsidR="00591FB4" w:rsidRDefault="00591FB4" w:rsidP="00591FB4">
            <w:pPr>
              <w:spacing w:after="0" w:line="240" w:lineRule="auto"/>
              <w:jc w:val="center"/>
              <w:rPr>
                <w:rFonts w:ascii="Calibri" w:eastAsia="Times New Roman" w:hAnsi="Calibri" w:cs="Times New Roman"/>
                <w:b/>
                <w:bCs/>
                <w:color w:val="000000"/>
                <w:sz w:val="24"/>
                <w:szCs w:val="24"/>
                <w:lang w:eastAsia="de-DE"/>
              </w:rPr>
            </w:pPr>
            <w:r>
              <w:rPr>
                <w:rFonts w:ascii="Calibri" w:eastAsia="Times New Roman" w:hAnsi="Calibri" w:cs="Times New Roman"/>
                <w:b/>
                <w:bCs/>
                <w:color w:val="000000"/>
                <w:sz w:val="24"/>
                <w:szCs w:val="24"/>
                <w:lang w:eastAsia="de-DE"/>
              </w:rPr>
              <w:t>Mischung</w:t>
            </w:r>
          </w:p>
        </w:tc>
      </w:tr>
      <w:tr w:rsidR="00591FB4" w14:paraId="20D1E4AC" w14:textId="77777777" w:rsidTr="00591FB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4327CE7" w14:textId="77777777" w:rsidR="00591FB4" w:rsidRDefault="00591FB4" w:rsidP="00591FB4">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Vorname</w:t>
            </w:r>
          </w:p>
        </w:tc>
        <w:tc>
          <w:tcPr>
            <w:tcW w:w="1200" w:type="dxa"/>
            <w:tcBorders>
              <w:top w:val="nil"/>
              <w:left w:val="nil"/>
              <w:bottom w:val="single" w:sz="8" w:space="0" w:color="auto"/>
              <w:right w:val="single" w:sz="8" w:space="0" w:color="auto"/>
            </w:tcBorders>
            <w:shd w:val="clear" w:color="auto" w:fill="auto"/>
            <w:noWrap/>
            <w:vAlign w:val="center"/>
            <w:hideMark/>
          </w:tcPr>
          <w:p w14:paraId="6FEE730C" w14:textId="77777777" w:rsidR="00591FB4" w:rsidRDefault="00591FB4" w:rsidP="00591FB4">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200" w:type="dxa"/>
            <w:tcBorders>
              <w:top w:val="nil"/>
              <w:left w:val="nil"/>
              <w:bottom w:val="single" w:sz="8" w:space="0" w:color="auto"/>
              <w:right w:val="single" w:sz="8" w:space="0" w:color="auto"/>
            </w:tcBorders>
            <w:shd w:val="clear" w:color="auto" w:fill="auto"/>
            <w:noWrap/>
            <w:vAlign w:val="center"/>
            <w:hideMark/>
          </w:tcPr>
          <w:p w14:paraId="29C077FD" w14:textId="77777777" w:rsidR="00591FB4" w:rsidRDefault="00591FB4" w:rsidP="00591FB4">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951" w:type="dxa"/>
            <w:tcBorders>
              <w:top w:val="nil"/>
              <w:left w:val="nil"/>
              <w:bottom w:val="single" w:sz="8" w:space="0" w:color="auto"/>
              <w:right w:val="single" w:sz="8" w:space="0" w:color="auto"/>
            </w:tcBorders>
            <w:shd w:val="clear" w:color="auto" w:fill="auto"/>
            <w:noWrap/>
            <w:vAlign w:val="center"/>
            <w:hideMark/>
          </w:tcPr>
          <w:p w14:paraId="57C7FCA6" w14:textId="77777777" w:rsidR="00591FB4" w:rsidRDefault="00591FB4" w:rsidP="00591FB4">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c>
          <w:tcPr>
            <w:tcW w:w="426" w:type="dxa"/>
            <w:tcBorders>
              <w:top w:val="nil"/>
              <w:left w:val="nil"/>
              <w:bottom w:val="nil"/>
              <w:right w:val="nil"/>
            </w:tcBorders>
            <w:shd w:val="clear" w:color="auto" w:fill="auto"/>
            <w:noWrap/>
            <w:vAlign w:val="bottom"/>
            <w:hideMark/>
          </w:tcPr>
          <w:p w14:paraId="2E34610B" w14:textId="77777777" w:rsidR="00591FB4" w:rsidRDefault="00591FB4" w:rsidP="00591FB4">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noWrap/>
            <w:vAlign w:val="center"/>
            <w:hideMark/>
          </w:tcPr>
          <w:p w14:paraId="2A7BBCB0" w14:textId="77777777" w:rsidR="00591FB4" w:rsidRDefault="00591FB4" w:rsidP="00591FB4">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Vorname</w:t>
            </w:r>
          </w:p>
        </w:tc>
        <w:tc>
          <w:tcPr>
            <w:tcW w:w="1200" w:type="dxa"/>
            <w:tcBorders>
              <w:top w:val="nil"/>
              <w:left w:val="nil"/>
              <w:bottom w:val="single" w:sz="8" w:space="0" w:color="auto"/>
              <w:right w:val="single" w:sz="8" w:space="0" w:color="auto"/>
            </w:tcBorders>
            <w:shd w:val="clear" w:color="auto" w:fill="auto"/>
            <w:noWrap/>
            <w:vAlign w:val="center"/>
            <w:hideMark/>
          </w:tcPr>
          <w:p w14:paraId="68026FAC" w14:textId="77777777" w:rsidR="00591FB4" w:rsidRDefault="00591FB4" w:rsidP="00591FB4">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200" w:type="dxa"/>
            <w:tcBorders>
              <w:top w:val="nil"/>
              <w:left w:val="nil"/>
              <w:bottom w:val="single" w:sz="8" w:space="0" w:color="auto"/>
              <w:right w:val="single" w:sz="8" w:space="0" w:color="auto"/>
            </w:tcBorders>
            <w:shd w:val="clear" w:color="auto" w:fill="auto"/>
            <w:noWrap/>
            <w:vAlign w:val="center"/>
            <w:hideMark/>
          </w:tcPr>
          <w:p w14:paraId="4082FB1E" w14:textId="77777777" w:rsidR="00591FB4" w:rsidRDefault="00591FB4" w:rsidP="00591FB4">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869" w:type="dxa"/>
            <w:tcBorders>
              <w:top w:val="nil"/>
              <w:left w:val="nil"/>
              <w:bottom w:val="single" w:sz="8" w:space="0" w:color="auto"/>
              <w:right w:val="single" w:sz="8" w:space="0" w:color="auto"/>
            </w:tcBorders>
            <w:shd w:val="clear" w:color="auto" w:fill="auto"/>
            <w:noWrap/>
            <w:vAlign w:val="center"/>
            <w:hideMark/>
          </w:tcPr>
          <w:p w14:paraId="7BE87B5F" w14:textId="77777777" w:rsidR="00591FB4" w:rsidRDefault="00591FB4" w:rsidP="00591FB4">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r>
      <w:tr w:rsidR="001D0CB2" w14:paraId="1B3F7A9B"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26A30580" w14:textId="73A60D9C"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Hiltrud</w:t>
            </w:r>
          </w:p>
        </w:tc>
        <w:tc>
          <w:tcPr>
            <w:tcW w:w="1200" w:type="dxa"/>
            <w:tcBorders>
              <w:top w:val="nil"/>
              <w:left w:val="nil"/>
              <w:bottom w:val="single" w:sz="8" w:space="0" w:color="auto"/>
              <w:right w:val="single" w:sz="8" w:space="0" w:color="auto"/>
            </w:tcBorders>
            <w:shd w:val="clear" w:color="auto" w:fill="auto"/>
            <w:vAlign w:val="bottom"/>
            <w:hideMark/>
          </w:tcPr>
          <w:p w14:paraId="5716D4F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Niemand</w:t>
            </w:r>
          </w:p>
        </w:tc>
        <w:tc>
          <w:tcPr>
            <w:tcW w:w="1200" w:type="dxa"/>
            <w:tcBorders>
              <w:top w:val="nil"/>
              <w:left w:val="nil"/>
              <w:bottom w:val="single" w:sz="8" w:space="0" w:color="auto"/>
              <w:right w:val="single" w:sz="8" w:space="0" w:color="auto"/>
            </w:tcBorders>
            <w:shd w:val="clear" w:color="auto" w:fill="auto"/>
            <w:vAlign w:val="bottom"/>
            <w:hideMark/>
          </w:tcPr>
          <w:p w14:paraId="21F5F7C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15.07.1987</w:t>
            </w:r>
          </w:p>
        </w:tc>
        <w:tc>
          <w:tcPr>
            <w:tcW w:w="951" w:type="dxa"/>
            <w:tcBorders>
              <w:top w:val="nil"/>
              <w:left w:val="nil"/>
              <w:bottom w:val="single" w:sz="8" w:space="0" w:color="auto"/>
              <w:right w:val="single" w:sz="8" w:space="0" w:color="auto"/>
            </w:tcBorders>
            <w:shd w:val="clear" w:color="auto" w:fill="auto"/>
            <w:noWrap/>
            <w:vAlign w:val="bottom"/>
            <w:hideMark/>
          </w:tcPr>
          <w:p w14:paraId="742F6F85"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D46.1</w:t>
            </w:r>
          </w:p>
        </w:tc>
        <w:tc>
          <w:tcPr>
            <w:tcW w:w="426" w:type="dxa"/>
            <w:tcBorders>
              <w:top w:val="nil"/>
              <w:left w:val="nil"/>
              <w:bottom w:val="nil"/>
              <w:right w:val="nil"/>
            </w:tcBorders>
            <w:shd w:val="clear" w:color="auto" w:fill="auto"/>
            <w:noWrap/>
            <w:vAlign w:val="bottom"/>
            <w:hideMark/>
          </w:tcPr>
          <w:p w14:paraId="5AD6468A"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695CF479" w14:textId="77777777" w:rsidR="001D0CB2" w:rsidRDefault="00E27FE2">
            <w:pPr>
              <w:spacing w:after="0" w:line="240" w:lineRule="auto"/>
              <w:jc w:val="left"/>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Gerfriede</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2E1BA5B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Niemand</w:t>
            </w:r>
          </w:p>
        </w:tc>
        <w:tc>
          <w:tcPr>
            <w:tcW w:w="1200" w:type="dxa"/>
            <w:tcBorders>
              <w:top w:val="nil"/>
              <w:left w:val="nil"/>
              <w:bottom w:val="single" w:sz="8" w:space="0" w:color="auto"/>
              <w:right w:val="single" w:sz="8" w:space="0" w:color="auto"/>
            </w:tcBorders>
            <w:shd w:val="clear" w:color="auto" w:fill="auto"/>
            <w:vAlign w:val="bottom"/>
            <w:hideMark/>
          </w:tcPr>
          <w:p w14:paraId="75B13C9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27.08.1977</w:t>
            </w:r>
          </w:p>
        </w:tc>
        <w:tc>
          <w:tcPr>
            <w:tcW w:w="869" w:type="dxa"/>
            <w:tcBorders>
              <w:top w:val="nil"/>
              <w:left w:val="nil"/>
              <w:bottom w:val="single" w:sz="8" w:space="0" w:color="auto"/>
              <w:right w:val="single" w:sz="8" w:space="0" w:color="auto"/>
            </w:tcBorders>
            <w:shd w:val="clear" w:color="auto" w:fill="auto"/>
            <w:noWrap/>
            <w:vAlign w:val="bottom"/>
            <w:hideMark/>
          </w:tcPr>
          <w:p w14:paraId="2B6D4D69"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D12.6</w:t>
            </w:r>
          </w:p>
        </w:tc>
      </w:tr>
      <w:tr w:rsidR="001D0CB2" w14:paraId="1327DFDB"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D4F4E6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Heike</w:t>
            </w:r>
          </w:p>
        </w:tc>
        <w:tc>
          <w:tcPr>
            <w:tcW w:w="1200" w:type="dxa"/>
            <w:tcBorders>
              <w:top w:val="nil"/>
              <w:left w:val="nil"/>
              <w:bottom w:val="single" w:sz="8" w:space="0" w:color="auto"/>
              <w:right w:val="single" w:sz="8" w:space="0" w:color="auto"/>
            </w:tcBorders>
            <w:shd w:val="clear" w:color="auto" w:fill="auto"/>
            <w:vAlign w:val="bottom"/>
            <w:hideMark/>
          </w:tcPr>
          <w:p w14:paraId="167F5A7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Richter</w:t>
            </w:r>
          </w:p>
        </w:tc>
        <w:tc>
          <w:tcPr>
            <w:tcW w:w="1200" w:type="dxa"/>
            <w:tcBorders>
              <w:top w:val="nil"/>
              <w:left w:val="nil"/>
              <w:bottom w:val="single" w:sz="8" w:space="0" w:color="auto"/>
              <w:right w:val="single" w:sz="8" w:space="0" w:color="auto"/>
            </w:tcBorders>
            <w:shd w:val="clear" w:color="auto" w:fill="auto"/>
            <w:vAlign w:val="bottom"/>
            <w:hideMark/>
          </w:tcPr>
          <w:p w14:paraId="2EBEAF7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11.05.1983</w:t>
            </w:r>
          </w:p>
        </w:tc>
        <w:tc>
          <w:tcPr>
            <w:tcW w:w="951" w:type="dxa"/>
            <w:tcBorders>
              <w:top w:val="nil"/>
              <w:left w:val="nil"/>
              <w:bottom w:val="single" w:sz="8" w:space="0" w:color="auto"/>
              <w:right w:val="single" w:sz="8" w:space="0" w:color="auto"/>
            </w:tcBorders>
            <w:shd w:val="clear" w:color="auto" w:fill="auto"/>
            <w:noWrap/>
            <w:vAlign w:val="bottom"/>
            <w:hideMark/>
          </w:tcPr>
          <w:p w14:paraId="645D79EF"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C43.9</w:t>
            </w:r>
          </w:p>
        </w:tc>
        <w:tc>
          <w:tcPr>
            <w:tcW w:w="426" w:type="dxa"/>
            <w:tcBorders>
              <w:top w:val="nil"/>
              <w:left w:val="nil"/>
              <w:bottom w:val="nil"/>
              <w:right w:val="nil"/>
            </w:tcBorders>
            <w:shd w:val="clear" w:color="auto" w:fill="auto"/>
            <w:noWrap/>
            <w:vAlign w:val="bottom"/>
            <w:hideMark/>
          </w:tcPr>
          <w:p w14:paraId="711BB7A3"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4F60E50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Franz</w:t>
            </w:r>
          </w:p>
        </w:tc>
        <w:tc>
          <w:tcPr>
            <w:tcW w:w="1200" w:type="dxa"/>
            <w:tcBorders>
              <w:top w:val="nil"/>
              <w:left w:val="nil"/>
              <w:bottom w:val="single" w:sz="8" w:space="0" w:color="auto"/>
              <w:right w:val="single" w:sz="8" w:space="0" w:color="auto"/>
            </w:tcBorders>
            <w:shd w:val="clear" w:color="auto" w:fill="auto"/>
            <w:vAlign w:val="bottom"/>
            <w:hideMark/>
          </w:tcPr>
          <w:p w14:paraId="533FC88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Richter</w:t>
            </w:r>
          </w:p>
        </w:tc>
        <w:tc>
          <w:tcPr>
            <w:tcW w:w="1200" w:type="dxa"/>
            <w:tcBorders>
              <w:top w:val="nil"/>
              <w:left w:val="nil"/>
              <w:bottom w:val="single" w:sz="8" w:space="0" w:color="auto"/>
              <w:right w:val="single" w:sz="8" w:space="0" w:color="auto"/>
            </w:tcBorders>
            <w:shd w:val="clear" w:color="auto" w:fill="auto"/>
            <w:vAlign w:val="bottom"/>
            <w:hideMark/>
          </w:tcPr>
          <w:p w14:paraId="50FC2A8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27.05.1975</w:t>
            </w:r>
          </w:p>
        </w:tc>
        <w:tc>
          <w:tcPr>
            <w:tcW w:w="869" w:type="dxa"/>
            <w:tcBorders>
              <w:top w:val="nil"/>
              <w:left w:val="nil"/>
              <w:bottom w:val="single" w:sz="8" w:space="0" w:color="auto"/>
              <w:right w:val="single" w:sz="8" w:space="0" w:color="auto"/>
            </w:tcBorders>
            <w:shd w:val="clear" w:color="auto" w:fill="auto"/>
            <w:noWrap/>
            <w:vAlign w:val="bottom"/>
            <w:hideMark/>
          </w:tcPr>
          <w:p w14:paraId="74F9185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D12.8</w:t>
            </w:r>
          </w:p>
        </w:tc>
      </w:tr>
      <w:tr w:rsidR="001D0CB2" w14:paraId="7E5F0B0B"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7BC3A00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Anke</w:t>
            </w:r>
          </w:p>
        </w:tc>
        <w:tc>
          <w:tcPr>
            <w:tcW w:w="1200" w:type="dxa"/>
            <w:tcBorders>
              <w:top w:val="nil"/>
              <w:left w:val="nil"/>
              <w:bottom w:val="single" w:sz="8" w:space="0" w:color="auto"/>
              <w:right w:val="single" w:sz="8" w:space="0" w:color="auto"/>
            </w:tcBorders>
            <w:shd w:val="clear" w:color="auto" w:fill="auto"/>
            <w:vAlign w:val="bottom"/>
            <w:hideMark/>
          </w:tcPr>
          <w:p w14:paraId="1ADE698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Schmidt</w:t>
            </w:r>
          </w:p>
        </w:tc>
        <w:tc>
          <w:tcPr>
            <w:tcW w:w="1200" w:type="dxa"/>
            <w:tcBorders>
              <w:top w:val="nil"/>
              <w:left w:val="nil"/>
              <w:bottom w:val="single" w:sz="8" w:space="0" w:color="auto"/>
              <w:right w:val="single" w:sz="8" w:space="0" w:color="auto"/>
            </w:tcBorders>
            <w:shd w:val="clear" w:color="auto" w:fill="auto"/>
            <w:vAlign w:val="bottom"/>
            <w:hideMark/>
          </w:tcPr>
          <w:p w14:paraId="61845E1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01.04.1978</w:t>
            </w:r>
          </w:p>
        </w:tc>
        <w:tc>
          <w:tcPr>
            <w:tcW w:w="951" w:type="dxa"/>
            <w:tcBorders>
              <w:top w:val="nil"/>
              <w:left w:val="nil"/>
              <w:bottom w:val="single" w:sz="8" w:space="0" w:color="auto"/>
              <w:right w:val="single" w:sz="8" w:space="0" w:color="auto"/>
            </w:tcBorders>
            <w:shd w:val="clear" w:color="auto" w:fill="auto"/>
            <w:noWrap/>
            <w:vAlign w:val="bottom"/>
            <w:hideMark/>
          </w:tcPr>
          <w:p w14:paraId="2E1AEC67"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C50.3</w:t>
            </w:r>
          </w:p>
        </w:tc>
        <w:tc>
          <w:tcPr>
            <w:tcW w:w="426" w:type="dxa"/>
            <w:tcBorders>
              <w:top w:val="nil"/>
              <w:left w:val="nil"/>
              <w:bottom w:val="nil"/>
              <w:right w:val="nil"/>
            </w:tcBorders>
            <w:shd w:val="clear" w:color="auto" w:fill="auto"/>
            <w:noWrap/>
            <w:vAlign w:val="bottom"/>
            <w:hideMark/>
          </w:tcPr>
          <w:p w14:paraId="59EC06E7"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4ED1C3CD" w14:textId="77777777" w:rsidR="001D0CB2" w:rsidRDefault="00E27FE2">
            <w:pPr>
              <w:spacing w:after="0" w:line="240" w:lineRule="auto"/>
              <w:jc w:val="left"/>
              <w:rPr>
                <w:rFonts w:ascii="Calibri" w:eastAsia="Times New Roman" w:hAnsi="Calibri" w:cs="Times New Roman"/>
                <w:color w:val="000000"/>
                <w:lang w:eastAsia="de-DE"/>
              </w:rPr>
            </w:pPr>
            <w:proofErr w:type="spellStart"/>
            <w:r w:rsidRPr="006C6D59">
              <w:rPr>
                <w:rFonts w:ascii="Calibri" w:eastAsia="Times New Roman" w:hAnsi="Calibri" w:cs="Times New Roman"/>
                <w:color w:val="000000"/>
                <w:lang w:eastAsia="de-DE"/>
              </w:rPr>
              <w:t>Fieda</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6051814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Schmidt</w:t>
            </w:r>
          </w:p>
        </w:tc>
        <w:tc>
          <w:tcPr>
            <w:tcW w:w="1200" w:type="dxa"/>
            <w:tcBorders>
              <w:top w:val="nil"/>
              <w:left w:val="nil"/>
              <w:bottom w:val="single" w:sz="8" w:space="0" w:color="auto"/>
              <w:right w:val="single" w:sz="8" w:space="0" w:color="auto"/>
            </w:tcBorders>
            <w:shd w:val="clear" w:color="auto" w:fill="auto"/>
            <w:vAlign w:val="bottom"/>
            <w:hideMark/>
          </w:tcPr>
          <w:p w14:paraId="31D9CA5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21.01.1969</w:t>
            </w:r>
          </w:p>
        </w:tc>
        <w:tc>
          <w:tcPr>
            <w:tcW w:w="869" w:type="dxa"/>
            <w:tcBorders>
              <w:top w:val="nil"/>
              <w:left w:val="nil"/>
              <w:bottom w:val="single" w:sz="8" w:space="0" w:color="auto"/>
              <w:right w:val="single" w:sz="8" w:space="0" w:color="auto"/>
            </w:tcBorders>
            <w:shd w:val="clear" w:color="auto" w:fill="auto"/>
            <w:noWrap/>
            <w:vAlign w:val="bottom"/>
            <w:hideMark/>
          </w:tcPr>
          <w:p w14:paraId="0B34A9B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D22.9</w:t>
            </w:r>
          </w:p>
        </w:tc>
      </w:tr>
      <w:tr w:rsidR="001D0CB2" w14:paraId="69CFEB55"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1F37AF1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Eckbert</w:t>
            </w:r>
          </w:p>
        </w:tc>
        <w:tc>
          <w:tcPr>
            <w:tcW w:w="1200" w:type="dxa"/>
            <w:tcBorders>
              <w:top w:val="nil"/>
              <w:left w:val="nil"/>
              <w:bottom w:val="single" w:sz="8" w:space="0" w:color="auto"/>
              <w:right w:val="single" w:sz="8" w:space="0" w:color="auto"/>
            </w:tcBorders>
            <w:shd w:val="clear" w:color="auto" w:fill="auto"/>
            <w:vAlign w:val="bottom"/>
            <w:hideMark/>
          </w:tcPr>
          <w:p w14:paraId="3644D63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Schneider</w:t>
            </w:r>
          </w:p>
        </w:tc>
        <w:tc>
          <w:tcPr>
            <w:tcW w:w="1200" w:type="dxa"/>
            <w:tcBorders>
              <w:top w:val="nil"/>
              <w:left w:val="nil"/>
              <w:bottom w:val="single" w:sz="8" w:space="0" w:color="auto"/>
              <w:right w:val="single" w:sz="8" w:space="0" w:color="auto"/>
            </w:tcBorders>
            <w:shd w:val="clear" w:color="auto" w:fill="auto"/>
            <w:vAlign w:val="bottom"/>
            <w:hideMark/>
          </w:tcPr>
          <w:p w14:paraId="09DA625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23.12.1981</w:t>
            </w:r>
          </w:p>
        </w:tc>
        <w:tc>
          <w:tcPr>
            <w:tcW w:w="951" w:type="dxa"/>
            <w:tcBorders>
              <w:top w:val="nil"/>
              <w:left w:val="nil"/>
              <w:bottom w:val="single" w:sz="8" w:space="0" w:color="auto"/>
              <w:right w:val="single" w:sz="8" w:space="0" w:color="auto"/>
            </w:tcBorders>
            <w:shd w:val="clear" w:color="auto" w:fill="auto"/>
            <w:noWrap/>
            <w:vAlign w:val="bottom"/>
            <w:hideMark/>
          </w:tcPr>
          <w:p w14:paraId="19FC124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D44.8</w:t>
            </w:r>
          </w:p>
        </w:tc>
        <w:tc>
          <w:tcPr>
            <w:tcW w:w="426" w:type="dxa"/>
            <w:tcBorders>
              <w:top w:val="nil"/>
              <w:left w:val="nil"/>
              <w:bottom w:val="nil"/>
              <w:right w:val="nil"/>
            </w:tcBorders>
            <w:shd w:val="clear" w:color="auto" w:fill="auto"/>
            <w:noWrap/>
            <w:vAlign w:val="bottom"/>
            <w:hideMark/>
          </w:tcPr>
          <w:p w14:paraId="76550F3E"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3836B03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Eckbert</w:t>
            </w:r>
          </w:p>
        </w:tc>
        <w:tc>
          <w:tcPr>
            <w:tcW w:w="1200" w:type="dxa"/>
            <w:tcBorders>
              <w:top w:val="nil"/>
              <w:left w:val="nil"/>
              <w:bottom w:val="single" w:sz="8" w:space="0" w:color="auto"/>
              <w:right w:val="single" w:sz="8" w:space="0" w:color="auto"/>
            </w:tcBorders>
            <w:shd w:val="clear" w:color="auto" w:fill="auto"/>
            <w:vAlign w:val="bottom"/>
            <w:hideMark/>
          </w:tcPr>
          <w:p w14:paraId="2513F19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Schneider</w:t>
            </w:r>
          </w:p>
        </w:tc>
        <w:tc>
          <w:tcPr>
            <w:tcW w:w="1200" w:type="dxa"/>
            <w:tcBorders>
              <w:top w:val="nil"/>
              <w:left w:val="nil"/>
              <w:bottom w:val="single" w:sz="8" w:space="0" w:color="auto"/>
              <w:right w:val="single" w:sz="8" w:space="0" w:color="auto"/>
            </w:tcBorders>
            <w:shd w:val="clear" w:color="auto" w:fill="auto"/>
            <w:vAlign w:val="bottom"/>
            <w:hideMark/>
          </w:tcPr>
          <w:p w14:paraId="0928417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13.04.1968</w:t>
            </w:r>
          </w:p>
        </w:tc>
        <w:tc>
          <w:tcPr>
            <w:tcW w:w="869" w:type="dxa"/>
            <w:tcBorders>
              <w:top w:val="nil"/>
              <w:left w:val="nil"/>
              <w:bottom w:val="single" w:sz="8" w:space="0" w:color="auto"/>
              <w:right w:val="single" w:sz="8" w:space="0" w:color="auto"/>
            </w:tcBorders>
            <w:shd w:val="clear" w:color="auto" w:fill="auto"/>
            <w:noWrap/>
            <w:vAlign w:val="bottom"/>
            <w:hideMark/>
          </w:tcPr>
          <w:p w14:paraId="686445A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D44.8</w:t>
            </w:r>
          </w:p>
        </w:tc>
      </w:tr>
      <w:tr w:rsidR="001D0CB2" w14:paraId="20F336BF"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883FE6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Jan</w:t>
            </w:r>
          </w:p>
        </w:tc>
        <w:tc>
          <w:tcPr>
            <w:tcW w:w="1200" w:type="dxa"/>
            <w:tcBorders>
              <w:top w:val="nil"/>
              <w:left w:val="nil"/>
              <w:bottom w:val="single" w:sz="8" w:space="0" w:color="auto"/>
              <w:right w:val="single" w:sz="8" w:space="0" w:color="auto"/>
            </w:tcBorders>
            <w:shd w:val="clear" w:color="auto" w:fill="auto"/>
            <w:vAlign w:val="bottom"/>
            <w:hideMark/>
          </w:tcPr>
          <w:p w14:paraId="2AC3D68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Schröder</w:t>
            </w:r>
          </w:p>
        </w:tc>
        <w:tc>
          <w:tcPr>
            <w:tcW w:w="1200" w:type="dxa"/>
            <w:tcBorders>
              <w:top w:val="nil"/>
              <w:left w:val="nil"/>
              <w:bottom w:val="single" w:sz="8" w:space="0" w:color="auto"/>
              <w:right w:val="single" w:sz="8" w:space="0" w:color="auto"/>
            </w:tcBorders>
            <w:shd w:val="clear" w:color="auto" w:fill="auto"/>
            <w:vAlign w:val="bottom"/>
            <w:hideMark/>
          </w:tcPr>
          <w:p w14:paraId="36094DA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03.12.1965</w:t>
            </w:r>
          </w:p>
        </w:tc>
        <w:tc>
          <w:tcPr>
            <w:tcW w:w="951" w:type="dxa"/>
            <w:tcBorders>
              <w:top w:val="nil"/>
              <w:left w:val="nil"/>
              <w:bottom w:val="single" w:sz="8" w:space="0" w:color="auto"/>
              <w:right w:val="single" w:sz="8" w:space="0" w:color="auto"/>
            </w:tcBorders>
            <w:shd w:val="clear" w:color="auto" w:fill="auto"/>
            <w:noWrap/>
            <w:vAlign w:val="bottom"/>
            <w:hideMark/>
          </w:tcPr>
          <w:p w14:paraId="1DF51FB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D22.9</w:t>
            </w:r>
          </w:p>
        </w:tc>
        <w:tc>
          <w:tcPr>
            <w:tcW w:w="426" w:type="dxa"/>
            <w:tcBorders>
              <w:top w:val="nil"/>
              <w:left w:val="nil"/>
              <w:bottom w:val="nil"/>
              <w:right w:val="nil"/>
            </w:tcBorders>
            <w:shd w:val="clear" w:color="auto" w:fill="auto"/>
            <w:noWrap/>
            <w:vAlign w:val="bottom"/>
            <w:hideMark/>
          </w:tcPr>
          <w:p w14:paraId="5FCE88B8"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115FE18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Berthold</w:t>
            </w:r>
          </w:p>
        </w:tc>
        <w:tc>
          <w:tcPr>
            <w:tcW w:w="1200" w:type="dxa"/>
            <w:tcBorders>
              <w:top w:val="nil"/>
              <w:left w:val="nil"/>
              <w:bottom w:val="single" w:sz="8" w:space="0" w:color="auto"/>
              <w:right w:val="single" w:sz="8" w:space="0" w:color="auto"/>
            </w:tcBorders>
            <w:shd w:val="clear" w:color="auto" w:fill="auto"/>
            <w:vAlign w:val="bottom"/>
            <w:hideMark/>
          </w:tcPr>
          <w:p w14:paraId="265A992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Schröder</w:t>
            </w:r>
          </w:p>
        </w:tc>
        <w:tc>
          <w:tcPr>
            <w:tcW w:w="1200" w:type="dxa"/>
            <w:tcBorders>
              <w:top w:val="nil"/>
              <w:left w:val="nil"/>
              <w:bottom w:val="single" w:sz="8" w:space="0" w:color="auto"/>
              <w:right w:val="single" w:sz="8" w:space="0" w:color="auto"/>
            </w:tcBorders>
            <w:shd w:val="clear" w:color="auto" w:fill="auto"/>
            <w:vAlign w:val="bottom"/>
            <w:hideMark/>
          </w:tcPr>
          <w:p w14:paraId="7CB1789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17.11.1967</w:t>
            </w:r>
          </w:p>
        </w:tc>
        <w:tc>
          <w:tcPr>
            <w:tcW w:w="869" w:type="dxa"/>
            <w:tcBorders>
              <w:top w:val="nil"/>
              <w:left w:val="nil"/>
              <w:bottom w:val="single" w:sz="8" w:space="0" w:color="auto"/>
              <w:right w:val="single" w:sz="8" w:space="0" w:color="auto"/>
            </w:tcBorders>
            <w:shd w:val="clear" w:color="auto" w:fill="auto"/>
            <w:noWrap/>
            <w:vAlign w:val="bottom"/>
            <w:hideMark/>
          </w:tcPr>
          <w:p w14:paraId="3F6BADB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D46.1</w:t>
            </w:r>
          </w:p>
        </w:tc>
      </w:tr>
      <w:tr w:rsidR="001D0CB2" w14:paraId="0297C669" w14:textId="77777777">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2D87EFE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Jürgen</w:t>
            </w:r>
          </w:p>
        </w:tc>
        <w:tc>
          <w:tcPr>
            <w:tcW w:w="1200" w:type="dxa"/>
            <w:tcBorders>
              <w:top w:val="nil"/>
              <w:left w:val="nil"/>
              <w:bottom w:val="single" w:sz="8" w:space="0" w:color="auto"/>
              <w:right w:val="single" w:sz="8" w:space="0" w:color="auto"/>
            </w:tcBorders>
            <w:shd w:val="clear" w:color="auto" w:fill="auto"/>
            <w:vAlign w:val="bottom"/>
            <w:hideMark/>
          </w:tcPr>
          <w:p w14:paraId="530AC1A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Stillstand</w:t>
            </w:r>
          </w:p>
        </w:tc>
        <w:tc>
          <w:tcPr>
            <w:tcW w:w="1200" w:type="dxa"/>
            <w:tcBorders>
              <w:top w:val="nil"/>
              <w:left w:val="nil"/>
              <w:bottom w:val="single" w:sz="8" w:space="0" w:color="auto"/>
              <w:right w:val="single" w:sz="8" w:space="0" w:color="auto"/>
            </w:tcBorders>
            <w:shd w:val="clear" w:color="auto" w:fill="auto"/>
            <w:vAlign w:val="bottom"/>
            <w:hideMark/>
          </w:tcPr>
          <w:p w14:paraId="5EB372D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29.11.1985</w:t>
            </w:r>
          </w:p>
        </w:tc>
        <w:tc>
          <w:tcPr>
            <w:tcW w:w="951" w:type="dxa"/>
            <w:tcBorders>
              <w:top w:val="nil"/>
              <w:left w:val="nil"/>
              <w:bottom w:val="single" w:sz="8" w:space="0" w:color="auto"/>
              <w:right w:val="single" w:sz="8" w:space="0" w:color="auto"/>
            </w:tcBorders>
            <w:shd w:val="clear" w:color="auto" w:fill="auto"/>
            <w:noWrap/>
            <w:vAlign w:val="bottom"/>
            <w:hideMark/>
          </w:tcPr>
          <w:p w14:paraId="2548854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C18.4</w:t>
            </w:r>
          </w:p>
        </w:tc>
        <w:tc>
          <w:tcPr>
            <w:tcW w:w="426" w:type="dxa"/>
            <w:tcBorders>
              <w:top w:val="nil"/>
              <w:left w:val="nil"/>
              <w:bottom w:val="nil"/>
              <w:right w:val="nil"/>
            </w:tcBorders>
            <w:shd w:val="clear" w:color="auto" w:fill="auto"/>
            <w:noWrap/>
            <w:vAlign w:val="bottom"/>
            <w:hideMark/>
          </w:tcPr>
          <w:p w14:paraId="6A2DEE53" w14:textId="77777777" w:rsidR="001D0CB2" w:rsidRDefault="001D0CB2">
            <w:pPr>
              <w:spacing w:after="0" w:line="240" w:lineRule="auto"/>
              <w:jc w:val="left"/>
              <w:rPr>
                <w:rFonts w:ascii="Calibri" w:eastAsia="Times New Roman" w:hAnsi="Calibri" w:cs="Times New Roman"/>
                <w:color w:val="000000"/>
                <w:lang w:eastAsia="de-DE"/>
              </w:rPr>
            </w:pPr>
          </w:p>
        </w:tc>
        <w:tc>
          <w:tcPr>
            <w:tcW w:w="1232" w:type="dxa"/>
            <w:tcBorders>
              <w:top w:val="nil"/>
              <w:left w:val="single" w:sz="8" w:space="0" w:color="auto"/>
              <w:bottom w:val="single" w:sz="8" w:space="0" w:color="auto"/>
              <w:right w:val="single" w:sz="8" w:space="0" w:color="auto"/>
            </w:tcBorders>
            <w:shd w:val="clear" w:color="auto" w:fill="auto"/>
            <w:vAlign w:val="bottom"/>
            <w:hideMark/>
          </w:tcPr>
          <w:p w14:paraId="7F1CD7D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Anke</w:t>
            </w:r>
          </w:p>
        </w:tc>
        <w:tc>
          <w:tcPr>
            <w:tcW w:w="1200" w:type="dxa"/>
            <w:tcBorders>
              <w:top w:val="nil"/>
              <w:left w:val="nil"/>
              <w:bottom w:val="single" w:sz="8" w:space="0" w:color="auto"/>
              <w:right w:val="single" w:sz="8" w:space="0" w:color="auto"/>
            </w:tcBorders>
            <w:shd w:val="clear" w:color="auto" w:fill="auto"/>
            <w:vAlign w:val="bottom"/>
            <w:hideMark/>
          </w:tcPr>
          <w:p w14:paraId="10905BD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Stillstand</w:t>
            </w:r>
          </w:p>
        </w:tc>
        <w:tc>
          <w:tcPr>
            <w:tcW w:w="1200" w:type="dxa"/>
            <w:tcBorders>
              <w:top w:val="nil"/>
              <w:left w:val="nil"/>
              <w:bottom w:val="single" w:sz="8" w:space="0" w:color="auto"/>
              <w:right w:val="single" w:sz="8" w:space="0" w:color="auto"/>
            </w:tcBorders>
            <w:shd w:val="clear" w:color="auto" w:fill="auto"/>
            <w:vAlign w:val="bottom"/>
            <w:hideMark/>
          </w:tcPr>
          <w:p w14:paraId="0D1F5A8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03.12.1965</w:t>
            </w:r>
          </w:p>
        </w:tc>
        <w:tc>
          <w:tcPr>
            <w:tcW w:w="869" w:type="dxa"/>
            <w:tcBorders>
              <w:top w:val="nil"/>
              <w:left w:val="nil"/>
              <w:bottom w:val="single" w:sz="8" w:space="0" w:color="auto"/>
              <w:right w:val="single" w:sz="8" w:space="0" w:color="auto"/>
            </w:tcBorders>
            <w:shd w:val="clear" w:color="auto" w:fill="auto"/>
            <w:noWrap/>
            <w:vAlign w:val="bottom"/>
            <w:hideMark/>
          </w:tcPr>
          <w:p w14:paraId="06E10C0B"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D46.2</w:t>
            </w:r>
          </w:p>
        </w:tc>
      </w:tr>
    </w:tbl>
    <w:p w14:paraId="13A35767" w14:textId="77777777" w:rsidR="001D0CB2" w:rsidRDefault="00E27FE2">
      <w:pPr>
        <w:pStyle w:val="Beschriftung"/>
      </w:pPr>
      <w:bookmarkStart w:id="99" w:name="_Toc517508002"/>
      <w:r>
        <w:t xml:space="preserve">Tabelle </w:t>
      </w:r>
      <w:fldSimple w:instr=" SEQ Tabelle \* ARABIC ">
        <w:r w:rsidR="00072F0D">
          <w:rPr>
            <w:noProof/>
          </w:rPr>
          <w:t>5</w:t>
        </w:r>
      </w:fldSimple>
      <w:r>
        <w:t>:</w:t>
      </w:r>
      <w:r>
        <w:rPr>
          <w:noProof/>
        </w:rPr>
        <w:t xml:space="preserve"> Vermischung der Datensätze, </w:t>
      </w:r>
      <w:r w:rsidRPr="00F215B1">
        <w:rPr>
          <w:noProof/>
        </w:rPr>
        <w:t>so dass</w:t>
      </w:r>
      <w:r>
        <w:rPr>
          <w:noProof/>
        </w:rPr>
        <w:t xml:space="preserve"> eine Identifizierung nicht möglich </w:t>
      </w:r>
      <w:r w:rsidRPr="00F215B1">
        <w:rPr>
          <w:noProof/>
        </w:rPr>
        <w:t>ist</w:t>
      </w:r>
      <w:bookmarkEnd w:id="99"/>
    </w:p>
    <w:p w14:paraId="7C5CD92B" w14:textId="77777777" w:rsidR="001D0CB2" w:rsidRDefault="00E27FE2">
      <w:pPr>
        <w:pStyle w:val="berschrift3"/>
      </w:pPr>
      <w:bookmarkStart w:id="100" w:name="_Toc517507972"/>
      <w:r>
        <w:t>Varianzmethode</w:t>
      </w:r>
      <w:bookmarkEnd w:id="100"/>
    </w:p>
    <w:p w14:paraId="110433CB" w14:textId="77777777" w:rsidR="001D0CB2" w:rsidRDefault="00E27FE2">
      <w:r>
        <w:t>Bei dieser Methode werden Daten, die auf Zahlen basieren, dadurch verfremdet, dass die Zahlenwerte in festgelegten, zufällig erhöhten oder verringerten Streuungsintervallen geändert werden.</w:t>
      </w:r>
    </w:p>
    <w:p w14:paraId="6943BF3F" w14:textId="77777777" w:rsidR="001D0CB2" w:rsidRDefault="00E27FE2">
      <w:pPr>
        <w:spacing w:after="0"/>
      </w:pPr>
      <w:r>
        <w:rPr>
          <w:b/>
        </w:rPr>
        <w:t>Beispiel:</w:t>
      </w:r>
      <w:r>
        <w:t xml:space="preserve"> Das Geburtsdatum aus </w:t>
      </w:r>
      <w:r>
        <w:fldChar w:fldCharType="begin"/>
      </w:r>
      <w:r>
        <w:instrText xml:space="preserve"> REF _Ref512152891 \h </w:instrText>
      </w:r>
      <w:r>
        <w:fldChar w:fldCharType="separate"/>
      </w:r>
      <w:r w:rsidR="00072F0D">
        <w:t xml:space="preserve">Tabelle </w:t>
      </w:r>
      <w:r w:rsidR="00072F0D">
        <w:rPr>
          <w:noProof/>
        </w:rPr>
        <w:t>1</w:t>
      </w:r>
      <w:r>
        <w:fldChar w:fldCharType="end"/>
      </w:r>
      <w:r>
        <w:t xml:space="preserve"> wurde mittels der Varianzmethode bearbeitet, wodurch das Geburtsdatum willkürlich verändert wurde, die statistische Aussage der Tabelle jedoch erhalten blieb:</w:t>
      </w:r>
    </w:p>
    <w:tbl>
      <w:tblPr>
        <w:tblW w:w="7528" w:type="dxa"/>
        <w:tblInd w:w="55" w:type="dxa"/>
        <w:tblCellMar>
          <w:left w:w="70" w:type="dxa"/>
          <w:right w:w="70" w:type="dxa"/>
        </w:tblCellMar>
        <w:tblLook w:val="04A0" w:firstRow="1" w:lastRow="0" w:firstColumn="1" w:lastColumn="0" w:noHBand="0" w:noVBand="1"/>
      </w:tblPr>
      <w:tblGrid>
        <w:gridCol w:w="1200"/>
        <w:gridCol w:w="1200"/>
        <w:gridCol w:w="1200"/>
        <w:gridCol w:w="1518"/>
        <w:gridCol w:w="882"/>
        <w:gridCol w:w="1528"/>
      </w:tblGrid>
      <w:tr w:rsidR="001D0CB2" w14:paraId="0F54A3CF" w14:textId="77777777" w:rsidTr="00D8462D">
        <w:trPr>
          <w:trHeight w:val="315"/>
          <w:tblHead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CBF2F"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Vorname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F0F4C1B"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8E7A670"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Geschlecht</w:t>
            </w:r>
          </w:p>
        </w:tc>
        <w:tc>
          <w:tcPr>
            <w:tcW w:w="1518" w:type="dxa"/>
            <w:tcBorders>
              <w:top w:val="single" w:sz="8" w:space="0" w:color="auto"/>
              <w:left w:val="nil"/>
              <w:bottom w:val="single" w:sz="8" w:space="0" w:color="auto"/>
              <w:right w:val="single" w:sz="8" w:space="0" w:color="auto"/>
            </w:tcBorders>
            <w:shd w:val="clear" w:color="auto" w:fill="auto"/>
            <w:noWrap/>
            <w:vAlign w:val="center"/>
            <w:hideMark/>
          </w:tcPr>
          <w:p w14:paraId="29E8EFA1"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882" w:type="dxa"/>
            <w:tcBorders>
              <w:top w:val="nil"/>
              <w:left w:val="nil"/>
              <w:bottom w:val="nil"/>
              <w:right w:val="nil"/>
            </w:tcBorders>
            <w:shd w:val="clear" w:color="auto" w:fill="auto"/>
            <w:noWrap/>
            <w:vAlign w:val="bottom"/>
            <w:hideMark/>
          </w:tcPr>
          <w:p w14:paraId="683DBE44"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91B2F"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r>
      <w:tr w:rsidR="001D0CB2" w14:paraId="243DEB23"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3D1CE57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Heike</w:t>
            </w:r>
          </w:p>
        </w:tc>
        <w:tc>
          <w:tcPr>
            <w:tcW w:w="1200" w:type="dxa"/>
            <w:tcBorders>
              <w:top w:val="nil"/>
              <w:left w:val="nil"/>
              <w:bottom w:val="single" w:sz="8" w:space="0" w:color="auto"/>
              <w:right w:val="single" w:sz="8" w:space="0" w:color="auto"/>
            </w:tcBorders>
            <w:shd w:val="clear" w:color="auto" w:fill="auto"/>
            <w:vAlign w:val="bottom"/>
            <w:hideMark/>
          </w:tcPr>
          <w:p w14:paraId="189CA31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Richter</w:t>
            </w:r>
          </w:p>
        </w:tc>
        <w:tc>
          <w:tcPr>
            <w:tcW w:w="1200" w:type="dxa"/>
            <w:tcBorders>
              <w:top w:val="nil"/>
              <w:left w:val="nil"/>
              <w:bottom w:val="single" w:sz="8" w:space="0" w:color="auto"/>
              <w:right w:val="single" w:sz="8" w:space="0" w:color="auto"/>
            </w:tcBorders>
            <w:shd w:val="clear" w:color="auto" w:fill="auto"/>
            <w:vAlign w:val="bottom"/>
            <w:hideMark/>
          </w:tcPr>
          <w:p w14:paraId="4C2A339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0A09766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11.05.1983</w:t>
            </w:r>
          </w:p>
        </w:tc>
        <w:tc>
          <w:tcPr>
            <w:tcW w:w="882" w:type="dxa"/>
            <w:tcBorders>
              <w:top w:val="nil"/>
              <w:left w:val="nil"/>
              <w:bottom w:val="nil"/>
              <w:right w:val="nil"/>
            </w:tcBorders>
            <w:shd w:val="clear" w:color="auto" w:fill="auto"/>
            <w:noWrap/>
            <w:vAlign w:val="bottom"/>
            <w:hideMark/>
          </w:tcPr>
          <w:p w14:paraId="28102BC1"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0F6B58E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14.05.1983</w:t>
            </w:r>
          </w:p>
        </w:tc>
      </w:tr>
      <w:tr w:rsidR="001D0CB2" w14:paraId="16CB73CD"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76725C0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Jan</w:t>
            </w:r>
          </w:p>
        </w:tc>
        <w:tc>
          <w:tcPr>
            <w:tcW w:w="1200" w:type="dxa"/>
            <w:tcBorders>
              <w:top w:val="nil"/>
              <w:left w:val="nil"/>
              <w:bottom w:val="single" w:sz="8" w:space="0" w:color="auto"/>
              <w:right w:val="single" w:sz="8" w:space="0" w:color="auto"/>
            </w:tcBorders>
            <w:shd w:val="clear" w:color="auto" w:fill="auto"/>
            <w:vAlign w:val="bottom"/>
            <w:hideMark/>
          </w:tcPr>
          <w:p w14:paraId="1C4263B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Schröder</w:t>
            </w:r>
          </w:p>
        </w:tc>
        <w:tc>
          <w:tcPr>
            <w:tcW w:w="1200" w:type="dxa"/>
            <w:tcBorders>
              <w:top w:val="nil"/>
              <w:left w:val="nil"/>
              <w:bottom w:val="single" w:sz="8" w:space="0" w:color="auto"/>
              <w:right w:val="single" w:sz="8" w:space="0" w:color="auto"/>
            </w:tcBorders>
            <w:shd w:val="clear" w:color="auto" w:fill="auto"/>
            <w:vAlign w:val="bottom"/>
            <w:hideMark/>
          </w:tcPr>
          <w:p w14:paraId="39F8739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0B7666D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03.12.1965</w:t>
            </w:r>
          </w:p>
        </w:tc>
        <w:tc>
          <w:tcPr>
            <w:tcW w:w="882" w:type="dxa"/>
            <w:tcBorders>
              <w:top w:val="nil"/>
              <w:left w:val="nil"/>
              <w:bottom w:val="nil"/>
              <w:right w:val="nil"/>
            </w:tcBorders>
            <w:shd w:val="clear" w:color="auto" w:fill="auto"/>
            <w:noWrap/>
            <w:vAlign w:val="bottom"/>
            <w:hideMark/>
          </w:tcPr>
          <w:p w14:paraId="5853B518"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1E57510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05.12.1965</w:t>
            </w:r>
          </w:p>
        </w:tc>
      </w:tr>
      <w:tr w:rsidR="001D0CB2" w14:paraId="3ABC5FA6"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16262A2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Hugo-Egon</w:t>
            </w:r>
          </w:p>
        </w:tc>
        <w:tc>
          <w:tcPr>
            <w:tcW w:w="1200" w:type="dxa"/>
            <w:tcBorders>
              <w:top w:val="nil"/>
              <w:left w:val="nil"/>
              <w:bottom w:val="single" w:sz="8" w:space="0" w:color="auto"/>
              <w:right w:val="single" w:sz="8" w:space="0" w:color="auto"/>
            </w:tcBorders>
            <w:shd w:val="clear" w:color="auto" w:fill="auto"/>
            <w:vAlign w:val="bottom"/>
            <w:hideMark/>
          </w:tcPr>
          <w:p w14:paraId="512D151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Meyer</w:t>
            </w:r>
          </w:p>
        </w:tc>
        <w:tc>
          <w:tcPr>
            <w:tcW w:w="1200" w:type="dxa"/>
            <w:tcBorders>
              <w:top w:val="nil"/>
              <w:left w:val="nil"/>
              <w:bottom w:val="single" w:sz="8" w:space="0" w:color="auto"/>
              <w:right w:val="single" w:sz="8" w:space="0" w:color="auto"/>
            </w:tcBorders>
            <w:shd w:val="clear" w:color="auto" w:fill="auto"/>
            <w:vAlign w:val="bottom"/>
            <w:hideMark/>
          </w:tcPr>
          <w:p w14:paraId="498E8F7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7D226A9F"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27.08.1977</w:t>
            </w:r>
          </w:p>
        </w:tc>
        <w:tc>
          <w:tcPr>
            <w:tcW w:w="882" w:type="dxa"/>
            <w:tcBorders>
              <w:top w:val="nil"/>
              <w:left w:val="nil"/>
              <w:bottom w:val="nil"/>
              <w:right w:val="nil"/>
            </w:tcBorders>
            <w:shd w:val="clear" w:color="auto" w:fill="auto"/>
            <w:noWrap/>
            <w:vAlign w:val="bottom"/>
            <w:hideMark/>
          </w:tcPr>
          <w:p w14:paraId="2C613DEA"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2991001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29.08.1977</w:t>
            </w:r>
          </w:p>
        </w:tc>
      </w:tr>
      <w:tr w:rsidR="001D0CB2" w14:paraId="08AB5D46"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7AE241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Eckbert</w:t>
            </w:r>
          </w:p>
        </w:tc>
        <w:tc>
          <w:tcPr>
            <w:tcW w:w="1200" w:type="dxa"/>
            <w:tcBorders>
              <w:top w:val="nil"/>
              <w:left w:val="nil"/>
              <w:bottom w:val="single" w:sz="8" w:space="0" w:color="auto"/>
              <w:right w:val="single" w:sz="8" w:space="0" w:color="auto"/>
            </w:tcBorders>
            <w:shd w:val="clear" w:color="auto" w:fill="auto"/>
            <w:vAlign w:val="bottom"/>
            <w:hideMark/>
          </w:tcPr>
          <w:p w14:paraId="1EAC714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Schneider</w:t>
            </w:r>
          </w:p>
        </w:tc>
        <w:tc>
          <w:tcPr>
            <w:tcW w:w="1200" w:type="dxa"/>
            <w:tcBorders>
              <w:top w:val="nil"/>
              <w:left w:val="nil"/>
              <w:bottom w:val="single" w:sz="8" w:space="0" w:color="auto"/>
              <w:right w:val="single" w:sz="8" w:space="0" w:color="auto"/>
            </w:tcBorders>
            <w:shd w:val="clear" w:color="auto" w:fill="auto"/>
            <w:vAlign w:val="bottom"/>
            <w:hideMark/>
          </w:tcPr>
          <w:p w14:paraId="5883B87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5047B19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23.12.1981</w:t>
            </w:r>
          </w:p>
        </w:tc>
        <w:tc>
          <w:tcPr>
            <w:tcW w:w="882" w:type="dxa"/>
            <w:tcBorders>
              <w:top w:val="nil"/>
              <w:left w:val="nil"/>
              <w:bottom w:val="nil"/>
              <w:right w:val="nil"/>
            </w:tcBorders>
            <w:shd w:val="clear" w:color="auto" w:fill="auto"/>
            <w:noWrap/>
            <w:vAlign w:val="bottom"/>
            <w:hideMark/>
          </w:tcPr>
          <w:p w14:paraId="69751FA8"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4D4C718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21.12.1981</w:t>
            </w:r>
          </w:p>
        </w:tc>
      </w:tr>
      <w:tr w:rsidR="001D0CB2" w14:paraId="70D73CB8"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3126002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Jürgen</w:t>
            </w:r>
          </w:p>
        </w:tc>
        <w:tc>
          <w:tcPr>
            <w:tcW w:w="1200" w:type="dxa"/>
            <w:tcBorders>
              <w:top w:val="nil"/>
              <w:left w:val="nil"/>
              <w:bottom w:val="single" w:sz="8" w:space="0" w:color="auto"/>
              <w:right w:val="single" w:sz="8" w:space="0" w:color="auto"/>
            </w:tcBorders>
            <w:shd w:val="clear" w:color="auto" w:fill="auto"/>
            <w:vAlign w:val="bottom"/>
            <w:hideMark/>
          </w:tcPr>
          <w:p w14:paraId="19DFA03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Stillstand</w:t>
            </w:r>
          </w:p>
        </w:tc>
        <w:tc>
          <w:tcPr>
            <w:tcW w:w="1200" w:type="dxa"/>
            <w:tcBorders>
              <w:top w:val="nil"/>
              <w:left w:val="nil"/>
              <w:bottom w:val="single" w:sz="8" w:space="0" w:color="auto"/>
              <w:right w:val="single" w:sz="8" w:space="0" w:color="auto"/>
            </w:tcBorders>
            <w:shd w:val="clear" w:color="auto" w:fill="auto"/>
            <w:vAlign w:val="bottom"/>
            <w:hideMark/>
          </w:tcPr>
          <w:p w14:paraId="331260F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631E5DF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29.11.1985</w:t>
            </w:r>
          </w:p>
        </w:tc>
        <w:tc>
          <w:tcPr>
            <w:tcW w:w="882" w:type="dxa"/>
            <w:tcBorders>
              <w:top w:val="nil"/>
              <w:left w:val="nil"/>
              <w:bottom w:val="nil"/>
              <w:right w:val="nil"/>
            </w:tcBorders>
            <w:shd w:val="clear" w:color="auto" w:fill="auto"/>
            <w:noWrap/>
            <w:vAlign w:val="bottom"/>
            <w:hideMark/>
          </w:tcPr>
          <w:p w14:paraId="1F0780BC"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7DE2620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30.11.1985</w:t>
            </w:r>
          </w:p>
        </w:tc>
      </w:tr>
      <w:tr w:rsidR="001D0CB2" w14:paraId="035740CB"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0C41560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Hiltrud</w:t>
            </w:r>
          </w:p>
        </w:tc>
        <w:tc>
          <w:tcPr>
            <w:tcW w:w="1200" w:type="dxa"/>
            <w:tcBorders>
              <w:top w:val="nil"/>
              <w:left w:val="nil"/>
              <w:bottom w:val="single" w:sz="8" w:space="0" w:color="auto"/>
              <w:right w:val="single" w:sz="8" w:space="0" w:color="auto"/>
            </w:tcBorders>
            <w:shd w:val="clear" w:color="auto" w:fill="auto"/>
            <w:vAlign w:val="bottom"/>
            <w:hideMark/>
          </w:tcPr>
          <w:p w14:paraId="418F30A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Niemand</w:t>
            </w:r>
          </w:p>
        </w:tc>
        <w:tc>
          <w:tcPr>
            <w:tcW w:w="1200" w:type="dxa"/>
            <w:tcBorders>
              <w:top w:val="nil"/>
              <w:left w:val="nil"/>
              <w:bottom w:val="single" w:sz="8" w:space="0" w:color="auto"/>
              <w:right w:val="single" w:sz="8" w:space="0" w:color="auto"/>
            </w:tcBorders>
            <w:shd w:val="clear" w:color="auto" w:fill="auto"/>
            <w:vAlign w:val="bottom"/>
            <w:hideMark/>
          </w:tcPr>
          <w:p w14:paraId="2D49464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6F1A486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15.07.1987</w:t>
            </w:r>
          </w:p>
        </w:tc>
        <w:tc>
          <w:tcPr>
            <w:tcW w:w="882" w:type="dxa"/>
            <w:tcBorders>
              <w:top w:val="nil"/>
              <w:left w:val="nil"/>
              <w:bottom w:val="nil"/>
              <w:right w:val="nil"/>
            </w:tcBorders>
            <w:shd w:val="clear" w:color="auto" w:fill="auto"/>
            <w:noWrap/>
            <w:vAlign w:val="bottom"/>
            <w:hideMark/>
          </w:tcPr>
          <w:p w14:paraId="5E58176B"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74873DB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16.07.1987</w:t>
            </w:r>
          </w:p>
        </w:tc>
      </w:tr>
      <w:tr w:rsidR="001D0CB2" w14:paraId="4799A432"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455D5EE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Uwe</w:t>
            </w:r>
          </w:p>
        </w:tc>
        <w:tc>
          <w:tcPr>
            <w:tcW w:w="1200" w:type="dxa"/>
            <w:tcBorders>
              <w:top w:val="nil"/>
              <w:left w:val="nil"/>
              <w:bottom w:val="single" w:sz="8" w:space="0" w:color="auto"/>
              <w:right w:val="single" w:sz="8" w:space="0" w:color="auto"/>
            </w:tcBorders>
            <w:shd w:val="clear" w:color="auto" w:fill="auto"/>
            <w:vAlign w:val="bottom"/>
            <w:hideMark/>
          </w:tcPr>
          <w:p w14:paraId="2A0F5FE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Müller</w:t>
            </w:r>
          </w:p>
        </w:tc>
        <w:tc>
          <w:tcPr>
            <w:tcW w:w="1200" w:type="dxa"/>
            <w:tcBorders>
              <w:top w:val="nil"/>
              <w:left w:val="nil"/>
              <w:bottom w:val="single" w:sz="8" w:space="0" w:color="auto"/>
              <w:right w:val="single" w:sz="8" w:space="0" w:color="auto"/>
            </w:tcBorders>
            <w:shd w:val="clear" w:color="auto" w:fill="auto"/>
            <w:vAlign w:val="bottom"/>
            <w:hideMark/>
          </w:tcPr>
          <w:p w14:paraId="2ADEBE1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3E2E5EE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31.03.1988</w:t>
            </w:r>
          </w:p>
        </w:tc>
        <w:tc>
          <w:tcPr>
            <w:tcW w:w="882" w:type="dxa"/>
            <w:tcBorders>
              <w:top w:val="nil"/>
              <w:left w:val="nil"/>
              <w:bottom w:val="nil"/>
              <w:right w:val="nil"/>
            </w:tcBorders>
            <w:shd w:val="clear" w:color="auto" w:fill="auto"/>
            <w:noWrap/>
            <w:vAlign w:val="bottom"/>
            <w:hideMark/>
          </w:tcPr>
          <w:p w14:paraId="13FB9DC3"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36DFED2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03.04.1988</w:t>
            </w:r>
          </w:p>
        </w:tc>
      </w:tr>
      <w:tr w:rsidR="001D0CB2" w14:paraId="2A68B3FA"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C3CE06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Michael</w:t>
            </w:r>
          </w:p>
        </w:tc>
        <w:tc>
          <w:tcPr>
            <w:tcW w:w="1200" w:type="dxa"/>
            <w:tcBorders>
              <w:top w:val="nil"/>
              <w:left w:val="nil"/>
              <w:bottom w:val="single" w:sz="8" w:space="0" w:color="auto"/>
              <w:right w:val="single" w:sz="8" w:space="0" w:color="auto"/>
            </w:tcBorders>
            <w:shd w:val="clear" w:color="auto" w:fill="auto"/>
            <w:vAlign w:val="bottom"/>
            <w:hideMark/>
          </w:tcPr>
          <w:p w14:paraId="76792814"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Matuschek</w:t>
            </w:r>
          </w:p>
        </w:tc>
        <w:tc>
          <w:tcPr>
            <w:tcW w:w="1200" w:type="dxa"/>
            <w:tcBorders>
              <w:top w:val="nil"/>
              <w:left w:val="nil"/>
              <w:bottom w:val="single" w:sz="8" w:space="0" w:color="auto"/>
              <w:right w:val="single" w:sz="8" w:space="0" w:color="auto"/>
            </w:tcBorders>
            <w:shd w:val="clear" w:color="auto" w:fill="auto"/>
            <w:vAlign w:val="bottom"/>
            <w:hideMark/>
          </w:tcPr>
          <w:p w14:paraId="210379A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1D5FF02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13.04.1968</w:t>
            </w:r>
          </w:p>
        </w:tc>
        <w:tc>
          <w:tcPr>
            <w:tcW w:w="882" w:type="dxa"/>
            <w:tcBorders>
              <w:top w:val="nil"/>
              <w:left w:val="nil"/>
              <w:bottom w:val="nil"/>
              <w:right w:val="nil"/>
            </w:tcBorders>
            <w:shd w:val="clear" w:color="auto" w:fill="auto"/>
            <w:noWrap/>
            <w:vAlign w:val="bottom"/>
            <w:hideMark/>
          </w:tcPr>
          <w:p w14:paraId="048C4616"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1469658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18.04.1968</w:t>
            </w:r>
          </w:p>
        </w:tc>
      </w:tr>
      <w:tr w:rsidR="001D0CB2" w14:paraId="38F6B653"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0DCD3FB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Anke</w:t>
            </w:r>
          </w:p>
        </w:tc>
        <w:tc>
          <w:tcPr>
            <w:tcW w:w="1200" w:type="dxa"/>
            <w:tcBorders>
              <w:top w:val="nil"/>
              <w:left w:val="nil"/>
              <w:bottom w:val="single" w:sz="8" w:space="0" w:color="auto"/>
              <w:right w:val="single" w:sz="8" w:space="0" w:color="auto"/>
            </w:tcBorders>
            <w:shd w:val="clear" w:color="auto" w:fill="auto"/>
            <w:vAlign w:val="bottom"/>
            <w:hideMark/>
          </w:tcPr>
          <w:p w14:paraId="1610E974"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Schmidt</w:t>
            </w:r>
          </w:p>
        </w:tc>
        <w:tc>
          <w:tcPr>
            <w:tcW w:w="1200" w:type="dxa"/>
            <w:tcBorders>
              <w:top w:val="nil"/>
              <w:left w:val="nil"/>
              <w:bottom w:val="single" w:sz="8" w:space="0" w:color="auto"/>
              <w:right w:val="single" w:sz="8" w:space="0" w:color="auto"/>
            </w:tcBorders>
            <w:shd w:val="clear" w:color="auto" w:fill="auto"/>
            <w:vAlign w:val="bottom"/>
            <w:hideMark/>
          </w:tcPr>
          <w:p w14:paraId="21D8C88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1492B90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01.04.1978</w:t>
            </w:r>
          </w:p>
        </w:tc>
        <w:tc>
          <w:tcPr>
            <w:tcW w:w="882" w:type="dxa"/>
            <w:tcBorders>
              <w:top w:val="nil"/>
              <w:left w:val="nil"/>
              <w:bottom w:val="nil"/>
              <w:right w:val="nil"/>
            </w:tcBorders>
            <w:shd w:val="clear" w:color="auto" w:fill="auto"/>
            <w:noWrap/>
            <w:vAlign w:val="bottom"/>
            <w:hideMark/>
          </w:tcPr>
          <w:p w14:paraId="5BD0A897"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6EE0966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29.03.1978</w:t>
            </w:r>
          </w:p>
        </w:tc>
      </w:tr>
      <w:tr w:rsidR="001D0CB2" w14:paraId="17E9FB5B"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BBD5DF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Kunigunde</w:t>
            </w:r>
          </w:p>
        </w:tc>
        <w:tc>
          <w:tcPr>
            <w:tcW w:w="1200" w:type="dxa"/>
            <w:tcBorders>
              <w:top w:val="nil"/>
              <w:left w:val="nil"/>
              <w:bottom w:val="single" w:sz="8" w:space="0" w:color="auto"/>
              <w:right w:val="single" w:sz="8" w:space="0" w:color="auto"/>
            </w:tcBorders>
            <w:shd w:val="clear" w:color="auto" w:fill="auto"/>
            <w:vAlign w:val="bottom"/>
            <w:hideMark/>
          </w:tcPr>
          <w:p w14:paraId="5ACA1E4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Gewaltig</w:t>
            </w:r>
          </w:p>
        </w:tc>
        <w:tc>
          <w:tcPr>
            <w:tcW w:w="1200" w:type="dxa"/>
            <w:tcBorders>
              <w:top w:val="nil"/>
              <w:left w:val="nil"/>
              <w:bottom w:val="single" w:sz="8" w:space="0" w:color="auto"/>
              <w:right w:val="single" w:sz="8" w:space="0" w:color="auto"/>
            </w:tcBorders>
            <w:shd w:val="clear" w:color="auto" w:fill="auto"/>
            <w:vAlign w:val="bottom"/>
            <w:hideMark/>
          </w:tcPr>
          <w:p w14:paraId="16F84BF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4E86B86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21.01.1969</w:t>
            </w:r>
          </w:p>
        </w:tc>
        <w:tc>
          <w:tcPr>
            <w:tcW w:w="882" w:type="dxa"/>
            <w:tcBorders>
              <w:top w:val="nil"/>
              <w:left w:val="nil"/>
              <w:bottom w:val="nil"/>
              <w:right w:val="nil"/>
            </w:tcBorders>
            <w:shd w:val="clear" w:color="auto" w:fill="auto"/>
            <w:noWrap/>
            <w:vAlign w:val="bottom"/>
            <w:hideMark/>
          </w:tcPr>
          <w:p w14:paraId="215CAB9F"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7B30BDB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17.01.1969</w:t>
            </w:r>
          </w:p>
        </w:tc>
      </w:tr>
      <w:tr w:rsidR="001D0CB2" w14:paraId="66C57FA9"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065C93A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Franz</w:t>
            </w:r>
          </w:p>
        </w:tc>
        <w:tc>
          <w:tcPr>
            <w:tcW w:w="1200" w:type="dxa"/>
            <w:tcBorders>
              <w:top w:val="nil"/>
              <w:left w:val="nil"/>
              <w:bottom w:val="single" w:sz="8" w:space="0" w:color="auto"/>
              <w:right w:val="single" w:sz="8" w:space="0" w:color="auto"/>
            </w:tcBorders>
            <w:shd w:val="clear" w:color="auto" w:fill="auto"/>
            <w:vAlign w:val="bottom"/>
            <w:hideMark/>
          </w:tcPr>
          <w:p w14:paraId="2898122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Herrlich</w:t>
            </w:r>
          </w:p>
        </w:tc>
        <w:tc>
          <w:tcPr>
            <w:tcW w:w="1200" w:type="dxa"/>
            <w:tcBorders>
              <w:top w:val="nil"/>
              <w:left w:val="nil"/>
              <w:bottom w:val="single" w:sz="8" w:space="0" w:color="auto"/>
              <w:right w:val="single" w:sz="8" w:space="0" w:color="auto"/>
            </w:tcBorders>
            <w:shd w:val="clear" w:color="auto" w:fill="auto"/>
            <w:vAlign w:val="bottom"/>
            <w:hideMark/>
          </w:tcPr>
          <w:p w14:paraId="6CFC4DE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2644C56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17.11.1967</w:t>
            </w:r>
          </w:p>
        </w:tc>
        <w:tc>
          <w:tcPr>
            <w:tcW w:w="882" w:type="dxa"/>
            <w:tcBorders>
              <w:top w:val="nil"/>
              <w:left w:val="nil"/>
              <w:bottom w:val="nil"/>
              <w:right w:val="nil"/>
            </w:tcBorders>
            <w:shd w:val="clear" w:color="auto" w:fill="auto"/>
            <w:noWrap/>
            <w:vAlign w:val="bottom"/>
            <w:hideMark/>
          </w:tcPr>
          <w:p w14:paraId="37559BEB"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6A4B533F"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22.11.1967</w:t>
            </w:r>
          </w:p>
        </w:tc>
      </w:tr>
      <w:tr w:rsidR="001D0CB2" w14:paraId="54E4F540"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41BF663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Berthold</w:t>
            </w:r>
          </w:p>
        </w:tc>
        <w:tc>
          <w:tcPr>
            <w:tcW w:w="1200" w:type="dxa"/>
            <w:tcBorders>
              <w:top w:val="nil"/>
              <w:left w:val="nil"/>
              <w:bottom w:val="single" w:sz="8" w:space="0" w:color="auto"/>
              <w:right w:val="single" w:sz="8" w:space="0" w:color="auto"/>
            </w:tcBorders>
            <w:shd w:val="clear" w:color="auto" w:fill="auto"/>
            <w:vAlign w:val="bottom"/>
            <w:hideMark/>
          </w:tcPr>
          <w:p w14:paraId="66C0199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Koch</w:t>
            </w:r>
          </w:p>
        </w:tc>
        <w:tc>
          <w:tcPr>
            <w:tcW w:w="1200" w:type="dxa"/>
            <w:tcBorders>
              <w:top w:val="nil"/>
              <w:left w:val="nil"/>
              <w:bottom w:val="single" w:sz="8" w:space="0" w:color="auto"/>
              <w:right w:val="single" w:sz="8" w:space="0" w:color="auto"/>
            </w:tcBorders>
            <w:shd w:val="clear" w:color="auto" w:fill="auto"/>
            <w:vAlign w:val="bottom"/>
            <w:hideMark/>
          </w:tcPr>
          <w:p w14:paraId="72A209F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518" w:type="dxa"/>
            <w:tcBorders>
              <w:top w:val="nil"/>
              <w:left w:val="nil"/>
              <w:bottom w:val="single" w:sz="8" w:space="0" w:color="auto"/>
              <w:right w:val="single" w:sz="8" w:space="0" w:color="auto"/>
            </w:tcBorders>
            <w:shd w:val="clear" w:color="auto" w:fill="auto"/>
            <w:vAlign w:val="bottom"/>
            <w:hideMark/>
          </w:tcPr>
          <w:p w14:paraId="4D64782F"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28.08.1991</w:t>
            </w:r>
          </w:p>
        </w:tc>
        <w:tc>
          <w:tcPr>
            <w:tcW w:w="882" w:type="dxa"/>
            <w:tcBorders>
              <w:top w:val="nil"/>
              <w:left w:val="nil"/>
              <w:bottom w:val="nil"/>
              <w:right w:val="nil"/>
            </w:tcBorders>
            <w:shd w:val="clear" w:color="auto" w:fill="auto"/>
            <w:noWrap/>
            <w:vAlign w:val="bottom"/>
            <w:hideMark/>
          </w:tcPr>
          <w:p w14:paraId="226372E0"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5C3AC00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01.09.1991</w:t>
            </w:r>
          </w:p>
        </w:tc>
      </w:tr>
      <w:tr w:rsidR="001D0CB2" w14:paraId="73FF12BF"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EA180FF" w14:textId="77777777" w:rsidR="001D0CB2" w:rsidRDefault="00E27FE2">
            <w:pPr>
              <w:spacing w:after="0" w:line="240" w:lineRule="auto"/>
              <w:jc w:val="left"/>
              <w:rPr>
                <w:rFonts w:ascii="Calibri" w:eastAsia="Times New Roman" w:hAnsi="Calibri" w:cs="Times New Roman"/>
                <w:color w:val="000000"/>
                <w:lang w:eastAsia="de-DE"/>
              </w:rPr>
            </w:pPr>
            <w:proofErr w:type="spellStart"/>
            <w:r w:rsidRPr="006C6D59">
              <w:rPr>
                <w:rFonts w:ascii="Calibri" w:eastAsia="Times New Roman" w:hAnsi="Calibri" w:cs="Times New Roman"/>
                <w:color w:val="000000"/>
                <w:lang w:eastAsia="de-DE"/>
              </w:rPr>
              <w:t>Fieda</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44DEB44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Fischer</w:t>
            </w:r>
          </w:p>
        </w:tc>
        <w:tc>
          <w:tcPr>
            <w:tcW w:w="1200" w:type="dxa"/>
            <w:tcBorders>
              <w:top w:val="nil"/>
              <w:left w:val="nil"/>
              <w:bottom w:val="single" w:sz="8" w:space="0" w:color="auto"/>
              <w:right w:val="single" w:sz="8" w:space="0" w:color="auto"/>
            </w:tcBorders>
            <w:shd w:val="clear" w:color="auto" w:fill="auto"/>
            <w:vAlign w:val="bottom"/>
            <w:hideMark/>
          </w:tcPr>
          <w:p w14:paraId="2EB76C4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4DC0A64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15.11.1987</w:t>
            </w:r>
          </w:p>
        </w:tc>
        <w:tc>
          <w:tcPr>
            <w:tcW w:w="882" w:type="dxa"/>
            <w:tcBorders>
              <w:top w:val="nil"/>
              <w:left w:val="nil"/>
              <w:bottom w:val="nil"/>
              <w:right w:val="nil"/>
            </w:tcBorders>
            <w:shd w:val="clear" w:color="auto" w:fill="auto"/>
            <w:noWrap/>
            <w:vAlign w:val="bottom"/>
            <w:hideMark/>
          </w:tcPr>
          <w:p w14:paraId="72B788CB"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0607CAE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18.11.1987</w:t>
            </w:r>
          </w:p>
        </w:tc>
      </w:tr>
      <w:tr w:rsidR="001D0CB2" w14:paraId="19E2FAC7"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1B7F10A4" w14:textId="77777777" w:rsidR="001D0CB2" w:rsidRDefault="00E27FE2">
            <w:pPr>
              <w:spacing w:after="0" w:line="240" w:lineRule="auto"/>
              <w:jc w:val="left"/>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Gerfriede</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74AE22B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Jensen</w:t>
            </w:r>
          </w:p>
        </w:tc>
        <w:tc>
          <w:tcPr>
            <w:tcW w:w="1200" w:type="dxa"/>
            <w:tcBorders>
              <w:top w:val="nil"/>
              <w:left w:val="nil"/>
              <w:bottom w:val="single" w:sz="8" w:space="0" w:color="auto"/>
              <w:right w:val="single" w:sz="8" w:space="0" w:color="auto"/>
            </w:tcBorders>
            <w:shd w:val="clear" w:color="auto" w:fill="auto"/>
            <w:vAlign w:val="bottom"/>
            <w:hideMark/>
          </w:tcPr>
          <w:p w14:paraId="5777B19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25E483F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23.07.1983</w:t>
            </w:r>
          </w:p>
        </w:tc>
        <w:tc>
          <w:tcPr>
            <w:tcW w:w="882" w:type="dxa"/>
            <w:tcBorders>
              <w:top w:val="nil"/>
              <w:left w:val="nil"/>
              <w:bottom w:val="nil"/>
              <w:right w:val="nil"/>
            </w:tcBorders>
            <w:shd w:val="clear" w:color="auto" w:fill="auto"/>
            <w:noWrap/>
            <w:vAlign w:val="bottom"/>
            <w:hideMark/>
          </w:tcPr>
          <w:p w14:paraId="4AA73E3F"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0D0BD47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26.07.1983</w:t>
            </w:r>
          </w:p>
        </w:tc>
      </w:tr>
      <w:tr w:rsidR="001D0CB2" w14:paraId="7364DB4A"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33BB6F7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Käthe</w:t>
            </w:r>
          </w:p>
        </w:tc>
        <w:tc>
          <w:tcPr>
            <w:tcW w:w="1200" w:type="dxa"/>
            <w:tcBorders>
              <w:top w:val="nil"/>
              <w:left w:val="nil"/>
              <w:bottom w:val="single" w:sz="8" w:space="0" w:color="auto"/>
              <w:right w:val="single" w:sz="8" w:space="0" w:color="auto"/>
            </w:tcBorders>
            <w:shd w:val="clear" w:color="auto" w:fill="auto"/>
            <w:vAlign w:val="bottom"/>
            <w:hideMark/>
          </w:tcPr>
          <w:p w14:paraId="38AF495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Albers</w:t>
            </w:r>
          </w:p>
        </w:tc>
        <w:tc>
          <w:tcPr>
            <w:tcW w:w="1200" w:type="dxa"/>
            <w:tcBorders>
              <w:top w:val="nil"/>
              <w:left w:val="nil"/>
              <w:bottom w:val="single" w:sz="8" w:space="0" w:color="auto"/>
              <w:right w:val="single" w:sz="8" w:space="0" w:color="auto"/>
            </w:tcBorders>
            <w:shd w:val="clear" w:color="auto" w:fill="auto"/>
            <w:vAlign w:val="bottom"/>
            <w:hideMark/>
          </w:tcPr>
          <w:p w14:paraId="379E9D0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518" w:type="dxa"/>
            <w:tcBorders>
              <w:top w:val="nil"/>
              <w:left w:val="nil"/>
              <w:bottom w:val="single" w:sz="8" w:space="0" w:color="auto"/>
              <w:right w:val="single" w:sz="8" w:space="0" w:color="auto"/>
            </w:tcBorders>
            <w:shd w:val="clear" w:color="auto" w:fill="auto"/>
            <w:vAlign w:val="bottom"/>
            <w:hideMark/>
          </w:tcPr>
          <w:p w14:paraId="5AF9DA8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27.05.1975</w:t>
            </w:r>
          </w:p>
        </w:tc>
        <w:tc>
          <w:tcPr>
            <w:tcW w:w="882" w:type="dxa"/>
            <w:tcBorders>
              <w:top w:val="nil"/>
              <w:left w:val="nil"/>
              <w:bottom w:val="nil"/>
              <w:right w:val="nil"/>
            </w:tcBorders>
            <w:shd w:val="clear" w:color="auto" w:fill="auto"/>
            <w:noWrap/>
            <w:vAlign w:val="bottom"/>
            <w:hideMark/>
          </w:tcPr>
          <w:p w14:paraId="3E411222" w14:textId="77777777" w:rsidR="001D0CB2" w:rsidRDefault="001D0CB2">
            <w:pPr>
              <w:spacing w:after="0" w:line="240" w:lineRule="auto"/>
              <w:jc w:val="left"/>
              <w:rPr>
                <w:rFonts w:ascii="Calibri" w:eastAsia="Times New Roman" w:hAnsi="Calibri" w:cs="Times New Roman"/>
                <w:color w:val="000000"/>
                <w:lang w:eastAsia="de-DE"/>
              </w:rPr>
            </w:pP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616178D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30.05.1975</w:t>
            </w:r>
          </w:p>
        </w:tc>
      </w:tr>
    </w:tbl>
    <w:p w14:paraId="7F3D9F43" w14:textId="77777777" w:rsidR="001D0CB2" w:rsidRDefault="00E27FE2">
      <w:pPr>
        <w:pStyle w:val="Beschriftung"/>
      </w:pPr>
      <w:bookmarkStart w:id="101" w:name="_Toc517508003"/>
      <w:r>
        <w:t xml:space="preserve">Tabelle </w:t>
      </w:r>
      <w:fldSimple w:instr=" SEQ Tabelle \* ARABIC ">
        <w:r w:rsidR="00072F0D">
          <w:rPr>
            <w:noProof/>
          </w:rPr>
          <w:t>6</w:t>
        </w:r>
      </w:fldSimple>
      <w:r>
        <w:t>:</w:t>
      </w:r>
      <w:r>
        <w:rPr>
          <w:noProof/>
        </w:rPr>
        <w:t xml:space="preserve"> Anpassung des Geburtsdatums durch die Varianzmethode</w:t>
      </w:r>
      <w:bookmarkEnd w:id="101"/>
    </w:p>
    <w:p w14:paraId="7A13D76E" w14:textId="77777777" w:rsidR="001D0CB2" w:rsidRDefault="00E27FE2">
      <w:pPr>
        <w:pStyle w:val="berschrift3"/>
      </w:pPr>
      <w:bookmarkStart w:id="102" w:name="_Toc517507973"/>
      <w:r>
        <w:t>Kryptografische Methoden</w:t>
      </w:r>
      <w:bookmarkEnd w:id="102"/>
    </w:p>
    <w:p w14:paraId="663C8E2B" w14:textId="77777777" w:rsidR="001D0CB2" w:rsidRDefault="00E27FE2">
      <w:r>
        <w:t>Hierbei kommen Verschlüsselungs- und/oder Hash-Algorithmen zum Einsatz. Dabei ist zu beachten, dass kryptografische Eigenschaften wie Blocklänge, Ausgabealphabet und Kollisionen der jeweils verwendeten Methoden Auswirkungen auf das Ergebnis der Anonymisierung haben. Weiterhin ist zu beachten, dass hier kryptografische Methoden im speziellen Kontext der Anonymisierung bzw. Pseudonymisierung betrachtet werden, d. h. einige Betrachtungen im anderen Kontext ggf. zu anderen Ergebnissen führen können.</w:t>
      </w:r>
    </w:p>
    <w:p w14:paraId="3C270786" w14:textId="77777777" w:rsidR="001D0CB2" w:rsidRDefault="00E27FE2">
      <w:pPr>
        <w:pStyle w:val="berschrift4"/>
      </w:pPr>
      <w:r>
        <w:lastRenderedPageBreak/>
        <w:t>Rahmenbedingungen abklären</w:t>
      </w:r>
    </w:p>
    <w:p w14:paraId="40587BD7" w14:textId="45C62EDE" w:rsidR="001D0CB2" w:rsidRDefault="00E27FE2">
      <w:pPr>
        <w:spacing w:after="0"/>
      </w:pPr>
      <w:r>
        <w:t xml:space="preserve">Mit der </w:t>
      </w:r>
      <w:r w:rsidRPr="006C6D59">
        <w:t>Fachseite</w:t>
      </w:r>
      <w:r>
        <w:t xml:space="preserve">, welche die </w:t>
      </w:r>
      <w:r w:rsidRPr="006C6D59">
        <w:t>pseudonymisierten</w:t>
      </w:r>
      <w:r>
        <w:t xml:space="preserve"> oder anonymisierten Daten verarbeiten will, müssen die Randbedingungen geklärt werden. </w:t>
      </w:r>
      <w:r w:rsidR="00320BB2">
        <w:t>So m</w:t>
      </w:r>
      <w:r>
        <w:t>uss z. B.</w:t>
      </w:r>
      <w:r w:rsidR="00320BB2">
        <w:t xml:space="preserve"> geklärt werden, </w:t>
      </w:r>
      <w:r w:rsidR="00320BB2" w:rsidRPr="00F215B1">
        <w:t>ob</w:t>
      </w:r>
    </w:p>
    <w:p w14:paraId="1D93D0FB" w14:textId="77777777" w:rsidR="001D0CB2" w:rsidRDefault="00E27FE2">
      <w:pPr>
        <w:pStyle w:val="Listenabsatz"/>
        <w:numPr>
          <w:ilvl w:val="0"/>
          <w:numId w:val="12"/>
        </w:numPr>
      </w:pPr>
      <w:r w:rsidRPr="00F215B1">
        <w:t>der</w:t>
      </w:r>
      <w:r>
        <w:t xml:space="preserve"> Zeichensatz (arabisch, deutsch</w:t>
      </w:r>
      <w:r w:rsidRPr="00F215B1">
        <w:t>, …),</w:t>
      </w:r>
    </w:p>
    <w:p w14:paraId="4AC4F9E9" w14:textId="77777777" w:rsidR="001D0CB2" w:rsidRDefault="00E27FE2">
      <w:pPr>
        <w:pStyle w:val="Listenabsatz"/>
        <w:numPr>
          <w:ilvl w:val="0"/>
          <w:numId w:val="12"/>
        </w:numPr>
      </w:pPr>
      <w:r w:rsidRPr="00F215B1">
        <w:t>die</w:t>
      </w:r>
      <w:r>
        <w:t xml:space="preserve"> Zeichenart (numerisch, Buchstabenerhalt, Sonderzeichen bleibt Sonderzeichen),</w:t>
      </w:r>
    </w:p>
    <w:p w14:paraId="01B4397D" w14:textId="77777777" w:rsidR="001D0CB2" w:rsidRDefault="00E27FE2">
      <w:pPr>
        <w:pStyle w:val="Listenabsatz"/>
        <w:numPr>
          <w:ilvl w:val="0"/>
          <w:numId w:val="12"/>
        </w:numPr>
        <w:spacing w:after="0"/>
        <w:ind w:left="771" w:hanging="357"/>
      </w:pPr>
      <w:r>
        <w:t>Zeichenlänge</w:t>
      </w:r>
    </w:p>
    <w:p w14:paraId="7279A9F8" w14:textId="77777777" w:rsidR="00271C2A" w:rsidRDefault="00E27FE2">
      <w:pPr>
        <w:spacing w:after="0"/>
      </w:pPr>
      <w:r w:rsidRPr="00F215B1">
        <w:t>bei</w:t>
      </w:r>
      <w:r>
        <w:t xml:space="preserve"> der Pseudonymisierung/Anonymisierung erhalten bleiben</w:t>
      </w:r>
      <w:r w:rsidR="00320BB2">
        <w:t xml:space="preserve"> sollen</w:t>
      </w:r>
      <w:r>
        <w:t>?</w:t>
      </w:r>
    </w:p>
    <w:p w14:paraId="7A0E1BB7" w14:textId="73D94D5C" w:rsidR="001D0CB2" w:rsidRDefault="00E27FE2">
      <w:pPr>
        <w:spacing w:after="0"/>
      </w:pPr>
      <w:r>
        <w:t>Weiterhin können funktionelle Anforderungen wie z. B.</w:t>
      </w:r>
    </w:p>
    <w:p w14:paraId="0A4A3B3D" w14:textId="77777777" w:rsidR="001D0CB2" w:rsidRDefault="00E27FE2">
      <w:pPr>
        <w:pStyle w:val="Listenabsatz"/>
        <w:numPr>
          <w:ilvl w:val="0"/>
          <w:numId w:val="8"/>
        </w:numPr>
      </w:pPr>
      <w:r>
        <w:t xml:space="preserve">Kollisionsfreiheit; d. h. unterschiedliche Eingaben führen immer zu unterschiedlichen Ergebnissen, </w:t>
      </w:r>
      <w:r w:rsidRPr="00F215B1">
        <w:t>so dass</w:t>
      </w:r>
      <w:r>
        <w:t xml:space="preserve"> die Unterschiede erhalten bleiben und ggf. Datensätze trotz Pseudonymisierung/Anonymisierung zusammengeführt werden können,</w:t>
      </w:r>
    </w:p>
    <w:p w14:paraId="5CCF5206" w14:textId="77777777" w:rsidR="001D0CB2" w:rsidRDefault="00E27FE2">
      <w:pPr>
        <w:pStyle w:val="Listenabsatz"/>
        <w:numPr>
          <w:ilvl w:val="0"/>
          <w:numId w:val="8"/>
        </w:numPr>
        <w:spacing w:after="0"/>
        <w:ind w:left="714" w:hanging="357"/>
      </w:pPr>
      <w:r>
        <w:t>Eindeutigkeit; gleiche Eingaben führen immer zu gleichen Abbildungen,</w:t>
      </w:r>
    </w:p>
    <w:p w14:paraId="188A993B" w14:textId="77777777" w:rsidR="001D0CB2" w:rsidRDefault="00E27FE2">
      <w:pPr>
        <w:pStyle w:val="Listenabsatz"/>
        <w:numPr>
          <w:ilvl w:val="0"/>
          <w:numId w:val="8"/>
        </w:numPr>
        <w:spacing w:after="0"/>
        <w:ind w:left="714" w:hanging="357"/>
      </w:pPr>
      <w:r>
        <w:t>Erhalt der statistischen Verteilung</w:t>
      </w:r>
    </w:p>
    <w:p w14:paraId="1825393D" w14:textId="5F00CC18" w:rsidR="001D0CB2" w:rsidRDefault="00E27FE2">
      <w:r w:rsidRPr="00F215B1">
        <w:t>hinzukommen</w:t>
      </w:r>
      <w:r>
        <w:t>.</w:t>
      </w:r>
    </w:p>
    <w:p w14:paraId="6711939A" w14:textId="77777777" w:rsidR="001D0CB2" w:rsidRDefault="00E27FE2">
      <w:r>
        <w:t xml:space="preserve">Grundsätzlich gilt: Je mehr Randbedingungen an die Pseudonymisierung bzw. Anonymisierung seitens der </w:t>
      </w:r>
      <w:r w:rsidRPr="006C6D59">
        <w:t>Fachseite</w:t>
      </w:r>
      <w:r>
        <w:t xml:space="preserve"> gestellt werden, umso größer wird das Risiko der Re-Identifizierbarkeit durch statistische Analysen.</w:t>
      </w:r>
    </w:p>
    <w:p w14:paraId="28586EDC" w14:textId="77777777" w:rsidR="001D0CB2" w:rsidRDefault="00E27FE2">
      <w:pPr>
        <w:pStyle w:val="berschrift4"/>
      </w:pPr>
      <w:r>
        <w:t>Verschlüsselungsverfahren</w:t>
      </w:r>
    </w:p>
    <w:p w14:paraId="63A1C7AF" w14:textId="2B8E601F" w:rsidR="001D0CB2" w:rsidRDefault="00E27FE2">
      <w:pPr>
        <w:spacing w:after="0"/>
      </w:pPr>
      <w:r>
        <w:t xml:space="preserve">Moderne kryptografische Methoden sind nahezu ausschließlich Binärchiffren, die sich in Block- und Stromchiffren sowie in symmetrische und asymmetrische Verfahren unterteilen lassen. Hierbei ist </w:t>
      </w:r>
      <w:r w:rsidR="00320BB2">
        <w:t xml:space="preserve">Folgendes </w:t>
      </w:r>
      <w:r>
        <w:t>zu beachten:</w:t>
      </w:r>
    </w:p>
    <w:p w14:paraId="507675A4" w14:textId="77777777" w:rsidR="001D0CB2" w:rsidRDefault="00E27FE2">
      <w:pPr>
        <w:pStyle w:val="Listenabsatz"/>
        <w:numPr>
          <w:ilvl w:val="0"/>
          <w:numId w:val="13"/>
        </w:numPr>
      </w:pPr>
      <w:r>
        <w:t xml:space="preserve">Stromchiffren müssen zum Erhalt von Eigenschaften mehrfach denselben Schlüsselstrom verwenden, was die kryptografische Stärke der Verfahren abschwächt. Daher sind Stromchiffren für die Pseudonymisierung/Anonymisierung </w:t>
      </w:r>
      <w:r w:rsidRPr="00F215B1">
        <w:t>i.d.R.</w:t>
      </w:r>
      <w:r>
        <w:t xml:space="preserve"> eher ungeeignet.</w:t>
      </w:r>
    </w:p>
    <w:p w14:paraId="6B8BF216" w14:textId="77777777" w:rsidR="001D0CB2" w:rsidRDefault="00E27FE2">
      <w:pPr>
        <w:pStyle w:val="Listenabsatz"/>
        <w:numPr>
          <w:ilvl w:val="0"/>
          <w:numId w:val="13"/>
        </w:numPr>
      </w:pPr>
      <w:r>
        <w:t xml:space="preserve">Den Vorteilen im Umgang mit dem Schlüsselmaterial stehen bei asymmetrischen Verfahren sehr hohe Performance-Einbußen und relativ große </w:t>
      </w:r>
      <w:proofErr w:type="spellStart"/>
      <w:r w:rsidRPr="00F215B1">
        <w:t>Chiffrat</w:t>
      </w:r>
      <w:proofErr w:type="spellEnd"/>
      <w:r w:rsidRPr="00F215B1">
        <w:t>-Blöcke</w:t>
      </w:r>
      <w:r>
        <w:t xml:space="preserve"> entgegen.</w:t>
      </w:r>
    </w:p>
    <w:p w14:paraId="72D32A34" w14:textId="77777777" w:rsidR="001D0CB2" w:rsidRDefault="00E27FE2">
      <w:r>
        <w:t>Dabei erhalten Binärchiffren weder den Zeichensatz noch die Zeichenart oder die Zeichenlänge. Jedoch sind Binärchiffren sowohl kollisionsfrei als auch eindeutig.</w:t>
      </w:r>
    </w:p>
    <w:p w14:paraId="2A07029B" w14:textId="3CA29F91" w:rsidR="001D0CB2" w:rsidRDefault="00E27FE2">
      <w:r>
        <w:t>Andere Verschlüsselungsverfahren können Anforderungen bzgl. Zeichenart, Zeichensatz und Zeichenlänge ggf. erhalten. Dieses ist z. B. bei entsprechender Implementierung beim symmetrischen Verfahren „</w:t>
      </w:r>
      <w:proofErr w:type="spellStart"/>
      <w:r w:rsidRPr="00F215B1">
        <w:t>One</w:t>
      </w:r>
      <w:proofErr w:type="spellEnd"/>
      <w:r w:rsidRPr="00F215B1">
        <w:t>-Time-Pad</w:t>
      </w:r>
      <w:r>
        <w:t>“ der Fall. Hier wiederum kann ggf. die Anforderung der Eindeutigkeit nicht mehr gegeben sein.</w:t>
      </w:r>
    </w:p>
    <w:p w14:paraId="69FBB592" w14:textId="77777777" w:rsidR="001D0CB2" w:rsidRDefault="00E27FE2">
      <w:r>
        <w:t>D. h., ob eine Verschlüsselung zur Anonymisierung/Pseudonymisierung genutzt werden kann, ist abhängig von den Anforderungen der Fachabteilung.</w:t>
      </w:r>
    </w:p>
    <w:p w14:paraId="787183E4" w14:textId="77777777" w:rsidR="001D0CB2" w:rsidRDefault="00E27FE2">
      <w:pPr>
        <w:pStyle w:val="berschrift4"/>
      </w:pPr>
      <w:r>
        <w:t>Hash-Funktionen</w:t>
      </w:r>
    </w:p>
    <w:p w14:paraId="0FF1D82D" w14:textId="70299B9D" w:rsidR="00591FB4" w:rsidRPr="00591FB4" w:rsidRDefault="00E27FE2" w:rsidP="00591FB4">
      <w:r>
        <w:t xml:space="preserve">Hash-Funktionen (auch: </w:t>
      </w:r>
      <w:r w:rsidRPr="00F215B1">
        <w:t>kryptografische</w:t>
      </w:r>
      <w:r>
        <w:t xml:space="preserve"> Checksumme oder Einwegfunktion genannt) bilden eine beliebig lange Eingabedatenmenge auf einen binären String fester Länge ab. Somit können auch Hash-Funktionen weder den Zeichensatz noch die Zeichenart oder die Zeichenlänge erhalten. Die Möglichkeit der Kollisionsfreiheit ist abhängig von der Ausgabelänge und dem Algorithmus. Bei </w:t>
      </w:r>
      <w:r w:rsidRPr="00F215B1">
        <w:t>MD5</w:t>
      </w:r>
      <w:r>
        <w:t xml:space="preserve"> beispielsweise ist nachgewiesen, dass Kollisionsfreiheit nicht gegeben ist. Die Anforderung der Eindeutigkeit wird von Hash-Funktionen gewährleistet.</w:t>
      </w:r>
    </w:p>
    <w:p w14:paraId="18B12FEA" w14:textId="7D786CC6" w:rsidR="001D0CB2" w:rsidRDefault="00E27FE2">
      <w:pPr>
        <w:pStyle w:val="berschrift4"/>
      </w:pPr>
      <w:r w:rsidRPr="006C6D59">
        <w:lastRenderedPageBreak/>
        <w:t>Salt</w:t>
      </w:r>
    </w:p>
    <w:p w14:paraId="6087D48F" w14:textId="77777777" w:rsidR="001D0CB2" w:rsidRDefault="00E27FE2">
      <w:r>
        <w:t>„</w:t>
      </w:r>
      <w:r w:rsidRPr="006C6D59">
        <w:t>Salt</w:t>
      </w:r>
      <w:r>
        <w:t xml:space="preserve">“ (= „Salz“) bezeichnet in der Kryptografie eine zufällig gewählte Zeichenfolge, die an einen gegebenen Klartext vor der Verwendung als Eingabe einer Hash-Funktion angehängt wird, um die Entropie der Eingabe zu erhöhen, was letztlich zu einer höheren Streuung des Ergebnisses führt. Hierdurch kann z. B. verhindert werden, dass Originaldaten bspw. </w:t>
      </w:r>
      <w:r w:rsidRPr="00F215B1">
        <w:t>mit Hilfe</w:t>
      </w:r>
      <w:r>
        <w:t xml:space="preserve"> von </w:t>
      </w:r>
      <w:r w:rsidRPr="00F215B1">
        <w:t>Rainbow-Tabellen</w:t>
      </w:r>
      <w:r>
        <w:t xml:space="preserve"> identifiziert werden können.</w:t>
      </w:r>
    </w:p>
    <w:p w14:paraId="55F266C3" w14:textId="77777777" w:rsidR="001D0CB2" w:rsidRDefault="00E27FE2">
      <w:r>
        <w:t xml:space="preserve">Stand heute wird eine Entropie von 100 Bit als resistent gegen </w:t>
      </w:r>
      <w:proofErr w:type="spellStart"/>
      <w:r>
        <w:t>Brute</w:t>
      </w:r>
      <w:proofErr w:type="spellEnd"/>
      <w:r>
        <w:t xml:space="preserve">-Force Angriffe mit hohem </w:t>
      </w:r>
      <w:r w:rsidRPr="00F215B1">
        <w:t>Angriffspotential</w:t>
      </w:r>
      <w:r>
        <w:t xml:space="preserve"> angesehen. D. h. der Wertebereich muss eine Mindeststreuung von 2</w:t>
      </w:r>
      <w:r>
        <w:rPr>
          <w:vertAlign w:val="superscript"/>
        </w:rPr>
        <w:t>100</w:t>
      </w:r>
      <w:r>
        <w:t xml:space="preserve"> bzw. 10</w:t>
      </w:r>
      <w:r>
        <w:rPr>
          <w:vertAlign w:val="superscript"/>
        </w:rPr>
        <w:t>30</w:t>
      </w:r>
      <w:r>
        <w:t xml:space="preserve"> haben. Zu jedem Datensatz sollte ein eigener </w:t>
      </w:r>
      <w:r w:rsidRPr="006C6D59">
        <w:t>Salt</w:t>
      </w:r>
      <w:r>
        <w:t xml:space="preserve"> existieren, um den größtmöglichen Schutz zu erhalten. Werden alle Datensätze mit ein und derselben Zeichenfolge kombiniert, so wird dies als „Pepper“ bezeichnet.</w:t>
      </w:r>
    </w:p>
    <w:p w14:paraId="4F5D277F" w14:textId="77777777" w:rsidR="001D0CB2" w:rsidRDefault="00E27FE2">
      <w:r>
        <w:t xml:space="preserve">Bei der Überprüfung eines Datums wird jedoch nicht jedes Mal ein neuer </w:t>
      </w:r>
      <w:r w:rsidRPr="006C6D59">
        <w:t>Salt</w:t>
      </w:r>
      <w:r>
        <w:t xml:space="preserve"> erzeugt, da sich sonst </w:t>
      </w:r>
      <w:r w:rsidRPr="00F215B1">
        <w:t>der entstandene Hashwert</w:t>
      </w:r>
      <w:r>
        <w:t xml:space="preserve"> von dem gespeicherten unterscheidet und somit der Wahrheitsgehalt der Information nicht überprüft werden kann. </w:t>
      </w:r>
      <w:r w:rsidRPr="00F215B1">
        <w:t>D. h.</w:t>
      </w:r>
      <w:r>
        <w:t xml:space="preserve"> die Anforderung der Eindeutigkeit wäre nicht mehr gegeben. Deshalb wird – sofern die Eindeutigkeit eine einzuhaltende Anforderung darstellt - bei der Generierung der zur jeweiligen Information verwendete </w:t>
      </w:r>
      <w:r w:rsidRPr="006C6D59">
        <w:t>Salt</w:t>
      </w:r>
      <w:r>
        <w:t xml:space="preserve"> zusammen mit dem entstandenen Hashwert gespeichert. Dabei müssen </w:t>
      </w:r>
      <w:r w:rsidRPr="006C6D59">
        <w:t>Salt</w:t>
      </w:r>
      <w:r>
        <w:t xml:space="preserve"> und Hashwert natürlich voneinander getrennt aufbewahrt werden, der </w:t>
      </w:r>
      <w:r w:rsidRPr="006C6D59">
        <w:t>Salt</w:t>
      </w:r>
      <w:r>
        <w:t xml:space="preserve"> unbedingt geheim gehalten werden, da ansonsten der Schutz abgeschwächt wird.</w:t>
      </w:r>
    </w:p>
    <w:p w14:paraId="43C1191D" w14:textId="77777777" w:rsidR="001D0CB2" w:rsidRDefault="00E27FE2">
      <w:pPr>
        <w:pStyle w:val="berschrift3"/>
      </w:pPr>
      <w:bookmarkStart w:id="103" w:name="_Toc517507974"/>
      <w:r>
        <w:t>Was wird wann mit welcher Methode erreicht?</w:t>
      </w:r>
      <w:bookmarkEnd w:id="103"/>
    </w:p>
    <w:tbl>
      <w:tblPr>
        <w:tblStyle w:val="Tabellenraster"/>
        <w:tblW w:w="0" w:type="auto"/>
        <w:tblLook w:val="04A0" w:firstRow="1" w:lastRow="0" w:firstColumn="1" w:lastColumn="0" w:noHBand="0" w:noVBand="1"/>
      </w:tblPr>
      <w:tblGrid>
        <w:gridCol w:w="3070"/>
        <w:gridCol w:w="3071"/>
        <w:gridCol w:w="3071"/>
      </w:tblGrid>
      <w:tr w:rsidR="001D0CB2" w14:paraId="5B30C693" w14:textId="77777777">
        <w:trPr>
          <w:tblHeader/>
        </w:trPr>
        <w:tc>
          <w:tcPr>
            <w:tcW w:w="3070" w:type="dxa"/>
          </w:tcPr>
          <w:p w14:paraId="61ED4F8A" w14:textId="77777777" w:rsidR="001D0CB2" w:rsidRDefault="00E27FE2">
            <w:pPr>
              <w:jc w:val="center"/>
              <w:rPr>
                <w:b/>
              </w:rPr>
            </w:pPr>
            <w:r>
              <w:rPr>
                <w:b/>
              </w:rPr>
              <w:t>Methode</w:t>
            </w:r>
          </w:p>
        </w:tc>
        <w:tc>
          <w:tcPr>
            <w:tcW w:w="3071" w:type="dxa"/>
          </w:tcPr>
          <w:p w14:paraId="68115173" w14:textId="77777777" w:rsidR="001D0CB2" w:rsidRDefault="00E27FE2">
            <w:pPr>
              <w:jc w:val="center"/>
              <w:rPr>
                <w:b/>
              </w:rPr>
            </w:pPr>
            <w:r>
              <w:rPr>
                <w:b/>
              </w:rPr>
              <w:t>Anonymisierung</w:t>
            </w:r>
          </w:p>
        </w:tc>
        <w:tc>
          <w:tcPr>
            <w:tcW w:w="3071" w:type="dxa"/>
          </w:tcPr>
          <w:p w14:paraId="7B6E8D54" w14:textId="77777777" w:rsidR="001D0CB2" w:rsidRDefault="00E27FE2">
            <w:pPr>
              <w:jc w:val="center"/>
              <w:rPr>
                <w:b/>
              </w:rPr>
            </w:pPr>
            <w:r>
              <w:rPr>
                <w:b/>
              </w:rPr>
              <w:t>Pseudonymisierung</w:t>
            </w:r>
          </w:p>
        </w:tc>
      </w:tr>
      <w:tr w:rsidR="001D0CB2" w14:paraId="2466992E" w14:textId="77777777">
        <w:tc>
          <w:tcPr>
            <w:tcW w:w="3070" w:type="dxa"/>
          </w:tcPr>
          <w:p w14:paraId="793EE75D" w14:textId="77777777" w:rsidR="001D0CB2" w:rsidRDefault="00E27FE2">
            <w:r>
              <w:t>Nichtangabe</w:t>
            </w:r>
          </w:p>
        </w:tc>
        <w:tc>
          <w:tcPr>
            <w:tcW w:w="3071" w:type="dxa"/>
          </w:tcPr>
          <w:p w14:paraId="7D3EE58D" w14:textId="77777777" w:rsidR="001D0CB2" w:rsidRDefault="00E27FE2">
            <w:pPr>
              <w:jc w:val="left"/>
            </w:pPr>
            <w:r>
              <w:t xml:space="preserve">Nichtangabe sorgt immer für Anonymität bzgl. des betreffenden </w:t>
            </w:r>
            <w:r w:rsidRPr="00F215B1">
              <w:t>Datums</w:t>
            </w:r>
          </w:p>
        </w:tc>
        <w:tc>
          <w:tcPr>
            <w:tcW w:w="3071" w:type="dxa"/>
          </w:tcPr>
          <w:p w14:paraId="70F93B58" w14:textId="77777777" w:rsidR="001D0CB2" w:rsidRDefault="00E27FE2">
            <w:pPr>
              <w:jc w:val="left"/>
            </w:pPr>
            <w:r>
              <w:t>Keine Pseudonymisierung möglich</w:t>
            </w:r>
          </w:p>
        </w:tc>
      </w:tr>
      <w:tr w:rsidR="001D0CB2" w14:paraId="4A4D2CED" w14:textId="77777777">
        <w:tc>
          <w:tcPr>
            <w:tcW w:w="3070" w:type="dxa"/>
          </w:tcPr>
          <w:p w14:paraId="0F0F3715" w14:textId="77777777" w:rsidR="001D0CB2" w:rsidRDefault="00E27FE2">
            <w:r>
              <w:t>Maskierung/Ersetzung</w:t>
            </w:r>
          </w:p>
        </w:tc>
        <w:tc>
          <w:tcPr>
            <w:tcW w:w="3071" w:type="dxa"/>
          </w:tcPr>
          <w:p w14:paraId="55C0CB0A" w14:textId="77777777" w:rsidR="001D0CB2" w:rsidRDefault="00E27FE2">
            <w:pPr>
              <w:jc w:val="left"/>
            </w:pPr>
            <w:r>
              <w:t>Bei Vorgehen</w:t>
            </w:r>
          </w:p>
          <w:p w14:paraId="603A1121" w14:textId="77777777" w:rsidR="001D0CB2" w:rsidRDefault="00E27FE2">
            <w:pPr>
              <w:pStyle w:val="Listenabsatz"/>
              <w:numPr>
                <w:ilvl w:val="0"/>
                <w:numId w:val="4"/>
              </w:numPr>
              <w:jc w:val="left"/>
            </w:pPr>
            <w:r>
              <w:t xml:space="preserve">Ersetzen mit gleichbleibendem </w:t>
            </w:r>
            <w:r w:rsidRPr="00F215B1">
              <w:t>Wert</w:t>
            </w:r>
          </w:p>
          <w:p w14:paraId="2EAFF84E" w14:textId="77777777" w:rsidR="001D0CB2" w:rsidRDefault="00E27FE2">
            <w:pPr>
              <w:pStyle w:val="Listenabsatz"/>
              <w:numPr>
                <w:ilvl w:val="0"/>
                <w:numId w:val="4"/>
              </w:numPr>
              <w:jc w:val="left"/>
            </w:pPr>
            <w:r>
              <w:t xml:space="preserve">Ersetzen mit sich erhöhendem </w:t>
            </w:r>
            <w:r w:rsidRPr="00F215B1">
              <w:t>Wert</w:t>
            </w:r>
          </w:p>
          <w:p w14:paraId="2FD58F98" w14:textId="77777777" w:rsidR="001D0CB2" w:rsidRDefault="00E27FE2">
            <w:pPr>
              <w:pStyle w:val="Listenabsatz"/>
              <w:numPr>
                <w:ilvl w:val="0"/>
                <w:numId w:val="4"/>
              </w:numPr>
              <w:jc w:val="left"/>
            </w:pPr>
            <w:r>
              <w:t>Zufällige Mischung (Initialisierungsschlüssel vernichtet</w:t>
            </w:r>
            <w:r w:rsidRPr="00F215B1">
              <w:t>)</w:t>
            </w:r>
          </w:p>
        </w:tc>
        <w:tc>
          <w:tcPr>
            <w:tcW w:w="3071" w:type="dxa"/>
          </w:tcPr>
          <w:p w14:paraId="2EF28A18" w14:textId="3F221880" w:rsidR="001D0CB2" w:rsidRDefault="00FD7008">
            <w:pPr>
              <w:jc w:val="left"/>
            </w:pPr>
            <w:r>
              <w:t>Verwendung</w:t>
            </w:r>
          </w:p>
          <w:p w14:paraId="29A88653" w14:textId="2B740CFC" w:rsidR="001D0CB2" w:rsidRDefault="00E27FE2">
            <w:pPr>
              <w:pStyle w:val="Listenabsatz"/>
              <w:numPr>
                <w:ilvl w:val="0"/>
                <w:numId w:val="4"/>
              </w:numPr>
              <w:jc w:val="left"/>
            </w:pPr>
            <w:r w:rsidRPr="00F215B1">
              <w:t>eines</w:t>
            </w:r>
            <w:r>
              <w:t xml:space="preserve"> Schemas</w:t>
            </w:r>
          </w:p>
          <w:p w14:paraId="4135DC31" w14:textId="1A89970A" w:rsidR="001D0CB2" w:rsidRDefault="00FD7008">
            <w:pPr>
              <w:pStyle w:val="Listenabsatz"/>
              <w:numPr>
                <w:ilvl w:val="0"/>
                <w:numId w:val="4"/>
              </w:numPr>
              <w:jc w:val="left"/>
            </w:pPr>
            <w:r w:rsidRPr="00F215B1">
              <w:t>von</w:t>
            </w:r>
            <w:r>
              <w:t xml:space="preserve"> </w:t>
            </w:r>
            <w:r w:rsidR="00E27FE2">
              <w:t>pseudozufällige</w:t>
            </w:r>
            <w:r w:rsidR="00320BB2">
              <w:t>r</w:t>
            </w:r>
            <w:r w:rsidR="00E27FE2">
              <w:t xml:space="preserve"> Ersetzung, z. B. schlüsselabhängige Ersetzung</w:t>
            </w:r>
          </w:p>
        </w:tc>
      </w:tr>
      <w:tr w:rsidR="001D0CB2" w14:paraId="402D4CEC" w14:textId="77777777">
        <w:tc>
          <w:tcPr>
            <w:tcW w:w="3070" w:type="dxa"/>
          </w:tcPr>
          <w:p w14:paraId="0DC153DF" w14:textId="77777777" w:rsidR="001D0CB2" w:rsidRDefault="00E27FE2">
            <w:r>
              <w:t>Mischung/</w:t>
            </w:r>
            <w:proofErr w:type="spellStart"/>
            <w:r w:rsidRPr="006C6D59">
              <w:t>Shuffeling</w:t>
            </w:r>
            <w:proofErr w:type="spellEnd"/>
          </w:p>
        </w:tc>
        <w:tc>
          <w:tcPr>
            <w:tcW w:w="3071" w:type="dxa"/>
          </w:tcPr>
          <w:p w14:paraId="4CBB4856" w14:textId="77777777" w:rsidR="001D0CB2" w:rsidRDefault="00E27FE2">
            <w:pPr>
              <w:jc w:val="left"/>
            </w:pPr>
            <w:r>
              <w:t>Bei Vorgehen</w:t>
            </w:r>
          </w:p>
          <w:p w14:paraId="47D2D92B" w14:textId="77777777" w:rsidR="001D0CB2" w:rsidRDefault="00E27FE2">
            <w:pPr>
              <w:pStyle w:val="Listenabsatz"/>
              <w:numPr>
                <w:ilvl w:val="0"/>
                <w:numId w:val="4"/>
              </w:numPr>
              <w:jc w:val="left"/>
            </w:pPr>
            <w:r>
              <w:t>Zufällige Mischung (Initialisierungsschlüssel vernichtet</w:t>
            </w:r>
            <w:r w:rsidRPr="00F215B1">
              <w:t>)</w:t>
            </w:r>
          </w:p>
        </w:tc>
        <w:tc>
          <w:tcPr>
            <w:tcW w:w="3071" w:type="dxa"/>
          </w:tcPr>
          <w:p w14:paraId="7EE21CDC" w14:textId="77777777" w:rsidR="001D0CB2" w:rsidRDefault="00E27FE2">
            <w:pPr>
              <w:jc w:val="left"/>
            </w:pPr>
            <w:r>
              <w:t>Verwendung von</w:t>
            </w:r>
          </w:p>
          <w:p w14:paraId="437A26BF" w14:textId="77777777" w:rsidR="001D0CB2" w:rsidRDefault="00E27FE2">
            <w:pPr>
              <w:pStyle w:val="Listenabsatz"/>
              <w:numPr>
                <w:ilvl w:val="0"/>
                <w:numId w:val="4"/>
              </w:numPr>
              <w:jc w:val="left"/>
            </w:pPr>
            <w:r w:rsidRPr="00F215B1">
              <w:t>pseudozufällige</w:t>
            </w:r>
            <w:r>
              <w:t xml:space="preserve"> Ersetzung, z. B. schlüsselabhängige Ersetzung</w:t>
            </w:r>
          </w:p>
        </w:tc>
      </w:tr>
      <w:tr w:rsidR="001D0CB2" w14:paraId="28F3BB18" w14:textId="77777777">
        <w:tc>
          <w:tcPr>
            <w:tcW w:w="3070" w:type="dxa"/>
          </w:tcPr>
          <w:p w14:paraId="24ECC3EA" w14:textId="77777777" w:rsidR="001D0CB2" w:rsidRDefault="00E27FE2">
            <w:r>
              <w:t>Varianzmethode</w:t>
            </w:r>
          </w:p>
        </w:tc>
        <w:tc>
          <w:tcPr>
            <w:tcW w:w="3071" w:type="dxa"/>
          </w:tcPr>
          <w:p w14:paraId="2A24BB1B" w14:textId="77777777" w:rsidR="001D0CB2" w:rsidRDefault="00E27FE2">
            <w:pPr>
              <w:jc w:val="left"/>
            </w:pPr>
            <w:r>
              <w:t xml:space="preserve">Bei ausreichend großer </w:t>
            </w:r>
            <w:r w:rsidRPr="00F215B1">
              <w:t>Varianz</w:t>
            </w:r>
          </w:p>
        </w:tc>
        <w:tc>
          <w:tcPr>
            <w:tcW w:w="3071" w:type="dxa"/>
          </w:tcPr>
          <w:p w14:paraId="5E2ABF24" w14:textId="08C63FCE" w:rsidR="001D0CB2" w:rsidRDefault="00E27FE2">
            <w:pPr>
              <w:jc w:val="left"/>
            </w:pPr>
            <w:r>
              <w:t>Vorgehen mit schlüsselabhängige</w:t>
            </w:r>
            <w:r w:rsidR="00320BB2">
              <w:t>r</w:t>
            </w:r>
            <w:r>
              <w:t xml:space="preserve"> Abweichung; Schlüssel wird </w:t>
            </w:r>
            <w:r w:rsidRPr="00F215B1">
              <w:t>aufbewahrt</w:t>
            </w:r>
          </w:p>
        </w:tc>
      </w:tr>
      <w:tr w:rsidR="001D0CB2" w14:paraId="01F6F0ED" w14:textId="77777777">
        <w:tc>
          <w:tcPr>
            <w:tcW w:w="3070" w:type="dxa"/>
          </w:tcPr>
          <w:p w14:paraId="295D5A97" w14:textId="77777777" w:rsidR="001D0CB2" w:rsidRDefault="00E27FE2">
            <w:r>
              <w:t>Kryptografische Methoden</w:t>
            </w:r>
          </w:p>
        </w:tc>
        <w:tc>
          <w:tcPr>
            <w:tcW w:w="3071" w:type="dxa"/>
          </w:tcPr>
          <w:p w14:paraId="7D6928A5" w14:textId="77777777" w:rsidR="001D0CB2" w:rsidRDefault="00E27FE2">
            <w:pPr>
              <w:jc w:val="left"/>
            </w:pPr>
            <w:r>
              <w:t>Bei Vorgehen</w:t>
            </w:r>
          </w:p>
          <w:p w14:paraId="46494152" w14:textId="77777777" w:rsidR="001D0CB2" w:rsidRDefault="00E27FE2">
            <w:pPr>
              <w:pStyle w:val="Listenabsatz"/>
              <w:numPr>
                <w:ilvl w:val="0"/>
                <w:numId w:val="4"/>
              </w:numPr>
              <w:jc w:val="left"/>
            </w:pPr>
            <w:r>
              <w:t xml:space="preserve">Schlüssel wird </w:t>
            </w:r>
            <w:r w:rsidRPr="00F215B1">
              <w:t>vernichtet</w:t>
            </w:r>
          </w:p>
          <w:p w14:paraId="035BB88A" w14:textId="77777777" w:rsidR="001D0CB2" w:rsidRDefault="00E27FE2">
            <w:pPr>
              <w:pStyle w:val="Listenabsatz"/>
              <w:numPr>
                <w:ilvl w:val="0"/>
                <w:numId w:val="4"/>
              </w:numPr>
              <w:jc w:val="left"/>
            </w:pPr>
            <w:r>
              <w:t xml:space="preserve">Verfahren ist nicht </w:t>
            </w:r>
            <w:proofErr w:type="spellStart"/>
            <w:r w:rsidRPr="00F215B1">
              <w:t>invertierbar</w:t>
            </w:r>
            <w:proofErr w:type="spellEnd"/>
          </w:p>
        </w:tc>
        <w:tc>
          <w:tcPr>
            <w:tcW w:w="3071" w:type="dxa"/>
          </w:tcPr>
          <w:p w14:paraId="70C34020" w14:textId="77777777" w:rsidR="001D0CB2" w:rsidRDefault="00E27FE2">
            <w:pPr>
              <w:jc w:val="left"/>
            </w:pPr>
            <w:r>
              <w:t>Bei Vorgehen</w:t>
            </w:r>
          </w:p>
          <w:p w14:paraId="0D7FFC19" w14:textId="77777777" w:rsidR="001D0CB2" w:rsidRDefault="00E27FE2">
            <w:pPr>
              <w:pStyle w:val="Listenabsatz"/>
              <w:numPr>
                <w:ilvl w:val="0"/>
                <w:numId w:val="4"/>
              </w:numPr>
              <w:jc w:val="left"/>
            </w:pPr>
            <w:r>
              <w:t xml:space="preserve">Schlüssel wird sicher </w:t>
            </w:r>
            <w:r w:rsidRPr="00F215B1">
              <w:t>aufbewahrt</w:t>
            </w:r>
          </w:p>
        </w:tc>
      </w:tr>
    </w:tbl>
    <w:p w14:paraId="00E9B489" w14:textId="77777777" w:rsidR="004C4805" w:rsidRDefault="004C4805" w:rsidP="004C4805">
      <w:bookmarkStart w:id="104" w:name="_Toc517507975"/>
    </w:p>
    <w:p w14:paraId="7041DD18" w14:textId="77777777" w:rsidR="004C4805" w:rsidRDefault="004C4805">
      <w:pPr>
        <w:jc w:val="left"/>
        <w:rPr>
          <w:rFonts w:asciiTheme="majorHAnsi" w:eastAsiaTheme="majorEastAsia" w:hAnsiTheme="majorHAnsi" w:cstheme="majorBidi"/>
          <w:b/>
          <w:bCs/>
          <w:color w:val="4F81BD" w:themeColor="accent1"/>
        </w:rPr>
      </w:pPr>
      <w:r>
        <w:br w:type="page"/>
      </w:r>
    </w:p>
    <w:p w14:paraId="79855D28" w14:textId="20BF919C" w:rsidR="001D0CB2" w:rsidRDefault="00E27FE2">
      <w:pPr>
        <w:pStyle w:val="berschrift3"/>
      </w:pPr>
      <w:r>
        <w:lastRenderedPageBreak/>
        <w:t>k-Anonymität</w:t>
      </w:r>
      <w:bookmarkEnd w:id="104"/>
    </w:p>
    <w:p w14:paraId="0C53B60E" w14:textId="77777777" w:rsidR="001D0CB2" w:rsidRDefault="00E27FE2">
      <w:r>
        <w:t>Direkte und indirekte Identifikationsmerkmale werden zu Gruppen mit gleichen Inhalten zusammengefasst, d. h. die Identifikationsmerkmale so verändert, dass die Merkmale zu Gruppen zusammengefasst werden können. Damit sind die hinter den Daten stehenden Individuen nicht mehr unterscheidbar, d. h. eine eindeutige Identifikation ist nicht mehr möglich.</w:t>
      </w:r>
    </w:p>
    <w:p w14:paraId="027BFE7F" w14:textId="77777777" w:rsidR="001D0CB2" w:rsidRDefault="00E27FE2">
      <w:r>
        <w:t>Um k-Anonymität zu erreichen, können alle oben beschriebenen Methoden eingesetzt werden. Dabei gilt: Je größer die Gruppe, je größer ist das Maß an Anonymität bzw. je kleiner ist die Wahrscheinlichkeit als Angehöriger einer Gruppe mit bestimmten Merkmalen identifiziert zu werden.</w:t>
      </w:r>
    </w:p>
    <w:p w14:paraId="69DF0595" w14:textId="77777777" w:rsidR="001D0CB2" w:rsidRDefault="00E27FE2">
      <w:r>
        <w:t>Der Parameter k definiert bei der k-Anonymität die Mindestgröße der Gruppen. Er ist damit gleichzeitig das Maß der Anonymität. In einer Gruppe von k Individuen liegt die Wahrscheinlichkeit bei 1/k ein einzelnes Individuum korrekt zu identifizieren.</w:t>
      </w:r>
    </w:p>
    <w:p w14:paraId="33D4BD5A" w14:textId="1813F8C8" w:rsidR="001D0CB2" w:rsidRDefault="00E27FE2" w:rsidP="00271C2A">
      <w:pPr>
        <w:spacing w:after="0"/>
      </w:pPr>
      <w:r>
        <w:t>In der Literatur wird ein Schwellwert von mindestens 5 angegeben, d. h.: Bei jeder Auswertung umfasst das Ergebnis zu jedem Zeitpunkt des Auswertungszeitraumes mindestens 5 Betroffene, sodass kein Rückschluss auf Einzelpersonen gegeben ist. Kann eine Rückführbarkeit auf eine Personengruppe unter 5 Personen nicht ausgeschlossen werden, sind sowohl der Schwellwert aus auch die Merkmale/Items für die jeweilige Auswertung so zu definieren, dass trotzdem der Identifikationsschutz gewährleistet ist.</w:t>
      </w:r>
    </w:p>
    <w:p w14:paraId="0370FEB7" w14:textId="77777777" w:rsidR="001D0CB2" w:rsidRDefault="00E27FE2">
      <w:pPr>
        <w:pStyle w:val="berschrift3"/>
      </w:pPr>
      <w:bookmarkStart w:id="105" w:name="_Toc517507976"/>
      <w:r>
        <w:t>Beispiele bzgl. Vorgehen</w:t>
      </w:r>
      <w:bookmarkEnd w:id="105"/>
    </w:p>
    <w:tbl>
      <w:tblPr>
        <w:tblStyle w:val="Tabellenraster"/>
        <w:tblW w:w="0" w:type="auto"/>
        <w:tblLook w:val="04A0" w:firstRow="1" w:lastRow="0" w:firstColumn="1" w:lastColumn="0" w:noHBand="0" w:noVBand="1"/>
      </w:tblPr>
      <w:tblGrid>
        <w:gridCol w:w="3085"/>
        <w:gridCol w:w="6127"/>
      </w:tblGrid>
      <w:tr w:rsidR="001D0CB2" w14:paraId="14A8CF0C" w14:textId="77777777" w:rsidTr="00072F0D">
        <w:trPr>
          <w:tblHeader/>
        </w:trPr>
        <w:tc>
          <w:tcPr>
            <w:tcW w:w="3085" w:type="dxa"/>
          </w:tcPr>
          <w:p w14:paraId="20E85DDE" w14:textId="77777777" w:rsidR="001D0CB2" w:rsidRDefault="00E27FE2">
            <w:pPr>
              <w:jc w:val="center"/>
              <w:rPr>
                <w:b/>
              </w:rPr>
            </w:pPr>
            <w:r>
              <w:rPr>
                <w:b/>
              </w:rPr>
              <w:t>Datentyp</w:t>
            </w:r>
          </w:p>
        </w:tc>
        <w:tc>
          <w:tcPr>
            <w:tcW w:w="6127" w:type="dxa"/>
          </w:tcPr>
          <w:p w14:paraId="0D65C7A5" w14:textId="77777777" w:rsidR="001D0CB2" w:rsidRDefault="00E27FE2">
            <w:pPr>
              <w:jc w:val="center"/>
              <w:rPr>
                <w:b/>
              </w:rPr>
            </w:pPr>
            <w:r>
              <w:rPr>
                <w:b/>
              </w:rPr>
              <w:t>Methode</w:t>
            </w:r>
          </w:p>
        </w:tc>
      </w:tr>
      <w:tr w:rsidR="001D0CB2" w14:paraId="0C38894A" w14:textId="77777777" w:rsidTr="00072F0D">
        <w:tc>
          <w:tcPr>
            <w:tcW w:w="3085" w:type="dxa"/>
          </w:tcPr>
          <w:p w14:paraId="2B1BCB7D" w14:textId="77777777" w:rsidR="001D0CB2" w:rsidRDefault="00E27FE2">
            <w:pPr>
              <w:jc w:val="left"/>
            </w:pPr>
            <w:r>
              <w:t>Zahl</w:t>
            </w:r>
          </w:p>
        </w:tc>
        <w:tc>
          <w:tcPr>
            <w:tcW w:w="6127" w:type="dxa"/>
          </w:tcPr>
          <w:p w14:paraId="645A42DD" w14:textId="71370291" w:rsidR="001D0CB2" w:rsidRDefault="00E27FE2">
            <w:pPr>
              <w:pStyle w:val="Listenabsatz"/>
              <w:numPr>
                <w:ilvl w:val="0"/>
                <w:numId w:val="4"/>
              </w:numPr>
              <w:jc w:val="left"/>
            </w:pPr>
            <w:r>
              <w:t xml:space="preserve">Neuvergabe der letzten x Stellen (x = </w:t>
            </w:r>
            <w:r w:rsidR="00F215B1" w:rsidRPr="00F215B1">
              <w:t>a</w:t>
            </w:r>
            <w:r w:rsidRPr="00F215B1">
              <w:t>bhängig</w:t>
            </w:r>
            <w:r>
              <w:t xml:space="preserve"> von den Zahlenwerten)</w:t>
            </w:r>
          </w:p>
          <w:p w14:paraId="75C40AEC" w14:textId="77777777" w:rsidR="001D0CB2" w:rsidRDefault="00E27FE2">
            <w:pPr>
              <w:pStyle w:val="Listenabsatz"/>
              <w:numPr>
                <w:ilvl w:val="0"/>
                <w:numId w:val="4"/>
              </w:numPr>
              <w:jc w:val="left"/>
            </w:pPr>
            <w:r>
              <w:t xml:space="preserve">Ersetzen durch </w:t>
            </w:r>
            <w:r w:rsidRPr="00F215B1">
              <w:t>Zufallszahlen</w:t>
            </w:r>
          </w:p>
          <w:p w14:paraId="7CE3FC7D" w14:textId="11A72900" w:rsidR="001D0CB2" w:rsidRDefault="00E27FE2">
            <w:pPr>
              <w:pStyle w:val="Listenabsatz"/>
              <w:numPr>
                <w:ilvl w:val="0"/>
                <w:numId w:val="4"/>
              </w:numPr>
              <w:jc w:val="left"/>
            </w:pPr>
            <w:r>
              <w:t>Nutzung einer Varianz (</w:t>
            </w:r>
            <w:r w:rsidR="00F215B1" w:rsidRPr="00F215B1">
              <w:t>z. B.</w:t>
            </w:r>
            <w:r>
              <w:t xml:space="preserve"> ± x%)</w:t>
            </w:r>
          </w:p>
          <w:p w14:paraId="515A31E2" w14:textId="77777777" w:rsidR="001D0CB2" w:rsidRDefault="00E27FE2">
            <w:pPr>
              <w:pStyle w:val="Listenabsatz"/>
              <w:numPr>
                <w:ilvl w:val="0"/>
                <w:numId w:val="4"/>
              </w:numPr>
              <w:jc w:val="left"/>
            </w:pPr>
            <w:r>
              <w:t>Löschung</w:t>
            </w:r>
          </w:p>
        </w:tc>
      </w:tr>
      <w:tr w:rsidR="001D0CB2" w14:paraId="118F9696" w14:textId="77777777" w:rsidTr="00072F0D">
        <w:tc>
          <w:tcPr>
            <w:tcW w:w="3085" w:type="dxa"/>
          </w:tcPr>
          <w:p w14:paraId="6FF79BB8" w14:textId="77777777" w:rsidR="001D0CB2" w:rsidRDefault="00E27FE2">
            <w:pPr>
              <w:jc w:val="left"/>
            </w:pPr>
            <w:r>
              <w:t>String</w:t>
            </w:r>
          </w:p>
        </w:tc>
        <w:tc>
          <w:tcPr>
            <w:tcW w:w="6127" w:type="dxa"/>
          </w:tcPr>
          <w:p w14:paraId="091DD8C2" w14:textId="77777777" w:rsidR="001D0CB2" w:rsidRDefault="00E27FE2">
            <w:pPr>
              <w:pStyle w:val="Listenabsatz"/>
              <w:numPr>
                <w:ilvl w:val="0"/>
                <w:numId w:val="4"/>
              </w:numPr>
              <w:jc w:val="left"/>
            </w:pPr>
            <w:r>
              <w:t>Neuvergabe über Tabelle</w:t>
            </w:r>
          </w:p>
          <w:p w14:paraId="59114824" w14:textId="77777777" w:rsidR="001D0CB2" w:rsidRDefault="00E27FE2">
            <w:pPr>
              <w:pStyle w:val="Listenabsatz"/>
              <w:numPr>
                <w:ilvl w:val="0"/>
                <w:numId w:val="4"/>
              </w:numPr>
              <w:jc w:val="left"/>
            </w:pPr>
            <w:r>
              <w:t>Ersetzung durch feste Zeichenkette</w:t>
            </w:r>
          </w:p>
          <w:p w14:paraId="070979BA" w14:textId="77777777" w:rsidR="001D0CB2" w:rsidRDefault="00E27FE2">
            <w:pPr>
              <w:pStyle w:val="Listenabsatz"/>
              <w:numPr>
                <w:ilvl w:val="0"/>
                <w:numId w:val="4"/>
              </w:numPr>
              <w:jc w:val="left"/>
            </w:pPr>
            <w:r>
              <w:t xml:space="preserve">Ersetzung durch feste Zeichenkette mit laufender Nummer zwecks Beibehaltung der </w:t>
            </w:r>
            <w:r w:rsidRPr="00F215B1">
              <w:t>Unterscheidbarkeit</w:t>
            </w:r>
          </w:p>
        </w:tc>
      </w:tr>
      <w:tr w:rsidR="001D0CB2" w14:paraId="63A26A14" w14:textId="77777777" w:rsidTr="00072F0D">
        <w:tc>
          <w:tcPr>
            <w:tcW w:w="3085" w:type="dxa"/>
          </w:tcPr>
          <w:p w14:paraId="4C90ACF1" w14:textId="77777777" w:rsidR="001D0CB2" w:rsidRDefault="00E27FE2">
            <w:pPr>
              <w:jc w:val="left"/>
            </w:pPr>
            <w:r>
              <w:t>Datum</w:t>
            </w:r>
          </w:p>
        </w:tc>
        <w:tc>
          <w:tcPr>
            <w:tcW w:w="6127" w:type="dxa"/>
          </w:tcPr>
          <w:p w14:paraId="65477915" w14:textId="77777777" w:rsidR="001D0CB2" w:rsidRDefault="00E27FE2">
            <w:pPr>
              <w:pStyle w:val="Listenabsatz"/>
              <w:numPr>
                <w:ilvl w:val="0"/>
                <w:numId w:val="4"/>
              </w:numPr>
              <w:jc w:val="left"/>
            </w:pPr>
            <w:r>
              <w:t xml:space="preserve">Setzen von Tag und Monat auf festen </w:t>
            </w:r>
            <w:r w:rsidRPr="00F215B1">
              <w:t>Wert</w:t>
            </w:r>
          </w:p>
          <w:p w14:paraId="01FD0B2D" w14:textId="77777777" w:rsidR="001D0CB2" w:rsidRDefault="00E27FE2">
            <w:pPr>
              <w:pStyle w:val="Listenabsatz"/>
              <w:numPr>
                <w:ilvl w:val="0"/>
                <w:numId w:val="4"/>
              </w:numPr>
              <w:jc w:val="left"/>
            </w:pPr>
            <w:r>
              <w:t xml:space="preserve">Setzen des Datums auf einen festen </w:t>
            </w:r>
            <w:r w:rsidRPr="00F215B1">
              <w:t>Wert</w:t>
            </w:r>
          </w:p>
        </w:tc>
      </w:tr>
      <w:tr w:rsidR="001D0CB2" w14:paraId="28940504" w14:textId="77777777" w:rsidTr="00072F0D">
        <w:tc>
          <w:tcPr>
            <w:tcW w:w="3085" w:type="dxa"/>
          </w:tcPr>
          <w:p w14:paraId="68CC6BF7" w14:textId="77777777" w:rsidR="001D0CB2" w:rsidRDefault="00E27FE2">
            <w:pPr>
              <w:jc w:val="left"/>
            </w:pPr>
            <w:r>
              <w:t>Postleitzahl</w:t>
            </w:r>
          </w:p>
        </w:tc>
        <w:tc>
          <w:tcPr>
            <w:tcW w:w="6127" w:type="dxa"/>
          </w:tcPr>
          <w:p w14:paraId="0556C664" w14:textId="77777777" w:rsidR="001D0CB2" w:rsidRDefault="00E27FE2">
            <w:pPr>
              <w:pStyle w:val="Listenabsatz"/>
              <w:numPr>
                <w:ilvl w:val="0"/>
                <w:numId w:val="4"/>
              </w:numPr>
              <w:jc w:val="left"/>
            </w:pPr>
            <w:r>
              <w:t>Neuvergabe von mindestens den letzten 2 Stellen über Umsetzungstabelle</w:t>
            </w:r>
          </w:p>
          <w:p w14:paraId="6D058DC4" w14:textId="77777777" w:rsidR="001D0CB2" w:rsidRDefault="00E27FE2">
            <w:pPr>
              <w:pStyle w:val="Listenabsatz"/>
              <w:numPr>
                <w:ilvl w:val="0"/>
                <w:numId w:val="4"/>
              </w:numPr>
              <w:jc w:val="left"/>
            </w:pPr>
            <w:r>
              <w:t xml:space="preserve">Ersetzen von mindestens den letzten beiden Stellen durch festen </w:t>
            </w:r>
            <w:r w:rsidRPr="00F215B1">
              <w:t>Wert</w:t>
            </w:r>
          </w:p>
          <w:p w14:paraId="091C9530" w14:textId="77777777" w:rsidR="001D0CB2" w:rsidRDefault="00E27FE2">
            <w:pPr>
              <w:pStyle w:val="Listenabsatz"/>
              <w:numPr>
                <w:ilvl w:val="0"/>
                <w:numId w:val="4"/>
              </w:numPr>
              <w:jc w:val="left"/>
            </w:pPr>
            <w:r>
              <w:t xml:space="preserve">Ersetzen von mindestens den letzten beiden Stellen durch festen </w:t>
            </w:r>
            <w:r w:rsidRPr="00F215B1">
              <w:t>Zufallswert</w:t>
            </w:r>
          </w:p>
        </w:tc>
      </w:tr>
      <w:tr w:rsidR="001D0CB2" w14:paraId="22443050" w14:textId="77777777" w:rsidTr="00072F0D">
        <w:tc>
          <w:tcPr>
            <w:tcW w:w="3085" w:type="dxa"/>
          </w:tcPr>
          <w:p w14:paraId="5191353B" w14:textId="77777777" w:rsidR="001D0CB2" w:rsidRDefault="00E27FE2">
            <w:pPr>
              <w:jc w:val="left"/>
            </w:pPr>
            <w:r>
              <w:t>E-Mail-Adresse</w:t>
            </w:r>
          </w:p>
        </w:tc>
        <w:tc>
          <w:tcPr>
            <w:tcW w:w="6127" w:type="dxa"/>
          </w:tcPr>
          <w:p w14:paraId="4AB3FCE9" w14:textId="77777777" w:rsidR="001D0CB2" w:rsidRDefault="00E27FE2">
            <w:pPr>
              <w:pStyle w:val="Listenabsatz"/>
              <w:numPr>
                <w:ilvl w:val="0"/>
                <w:numId w:val="4"/>
              </w:numPr>
              <w:jc w:val="left"/>
            </w:pPr>
            <w:r>
              <w:t>Löschen</w:t>
            </w:r>
          </w:p>
          <w:p w14:paraId="75FA66BC" w14:textId="77777777" w:rsidR="001D0CB2" w:rsidRDefault="00E27FE2">
            <w:pPr>
              <w:pStyle w:val="Listenabsatz"/>
              <w:numPr>
                <w:ilvl w:val="0"/>
                <w:numId w:val="4"/>
              </w:numPr>
              <w:jc w:val="left"/>
            </w:pPr>
            <w:r>
              <w:t xml:space="preserve">Ersetzen durch festen </w:t>
            </w:r>
            <w:r w:rsidRPr="00F215B1">
              <w:t>Dummy-Wert</w:t>
            </w:r>
          </w:p>
        </w:tc>
      </w:tr>
      <w:tr w:rsidR="001D0CB2" w14:paraId="1B6B7738" w14:textId="77777777" w:rsidTr="00072F0D">
        <w:tc>
          <w:tcPr>
            <w:tcW w:w="3085" w:type="dxa"/>
          </w:tcPr>
          <w:p w14:paraId="2CFE23D6" w14:textId="77777777" w:rsidR="001D0CB2" w:rsidRDefault="00E27FE2">
            <w:pPr>
              <w:jc w:val="left"/>
            </w:pPr>
            <w:r>
              <w:t>Religion</w:t>
            </w:r>
          </w:p>
        </w:tc>
        <w:tc>
          <w:tcPr>
            <w:tcW w:w="6127" w:type="dxa"/>
          </w:tcPr>
          <w:p w14:paraId="2CB19A1E" w14:textId="77777777" w:rsidR="001D0CB2" w:rsidRDefault="00E27FE2">
            <w:pPr>
              <w:pStyle w:val="Listenabsatz"/>
              <w:numPr>
                <w:ilvl w:val="0"/>
                <w:numId w:val="4"/>
              </w:numPr>
              <w:jc w:val="left"/>
            </w:pPr>
            <w:r>
              <w:t>Löschen</w:t>
            </w:r>
          </w:p>
          <w:p w14:paraId="34722E6A" w14:textId="77777777" w:rsidR="001D0CB2" w:rsidRDefault="00E27FE2">
            <w:pPr>
              <w:pStyle w:val="Listenabsatz"/>
              <w:numPr>
                <w:ilvl w:val="0"/>
                <w:numId w:val="4"/>
              </w:numPr>
              <w:jc w:val="left"/>
            </w:pPr>
            <w:r>
              <w:t xml:space="preserve">Ersetzen durch festen </w:t>
            </w:r>
            <w:r w:rsidRPr="00F215B1">
              <w:t>Dummy-Wert</w:t>
            </w:r>
          </w:p>
        </w:tc>
      </w:tr>
      <w:tr w:rsidR="001D0CB2" w14:paraId="3C852758" w14:textId="77777777" w:rsidTr="00072F0D">
        <w:tc>
          <w:tcPr>
            <w:tcW w:w="3085" w:type="dxa"/>
          </w:tcPr>
          <w:p w14:paraId="04C9699A" w14:textId="77777777" w:rsidR="001D0CB2" w:rsidRDefault="00E27FE2">
            <w:pPr>
              <w:jc w:val="left"/>
            </w:pPr>
            <w:r>
              <w:t xml:space="preserve">Medizinische Code-Systeme wie </w:t>
            </w:r>
            <w:r w:rsidRPr="006C6D59">
              <w:t>ICD</w:t>
            </w:r>
            <w:r>
              <w:t xml:space="preserve">, </w:t>
            </w:r>
            <w:r w:rsidRPr="00F215B1">
              <w:t>OPS</w:t>
            </w:r>
            <w:r>
              <w:t>, usw.</w:t>
            </w:r>
          </w:p>
        </w:tc>
        <w:tc>
          <w:tcPr>
            <w:tcW w:w="6127" w:type="dxa"/>
          </w:tcPr>
          <w:p w14:paraId="3DE4ECA5" w14:textId="77777777" w:rsidR="001D0CB2" w:rsidRDefault="00E27FE2">
            <w:pPr>
              <w:pStyle w:val="Listenabsatz"/>
              <w:numPr>
                <w:ilvl w:val="0"/>
                <w:numId w:val="4"/>
              </w:numPr>
              <w:jc w:val="left"/>
            </w:pPr>
            <w:r>
              <w:t xml:space="preserve">Verkürzen der </w:t>
            </w:r>
            <w:r w:rsidRPr="00F215B1">
              <w:t>Kodierung</w:t>
            </w:r>
          </w:p>
          <w:p w14:paraId="12575C85" w14:textId="77777777" w:rsidR="001D0CB2" w:rsidRDefault="00E27FE2">
            <w:pPr>
              <w:pStyle w:val="Listenabsatz"/>
              <w:numPr>
                <w:ilvl w:val="0"/>
                <w:numId w:val="4"/>
              </w:numPr>
              <w:jc w:val="left"/>
            </w:pPr>
            <w:r>
              <w:t>Löschung</w:t>
            </w:r>
          </w:p>
        </w:tc>
      </w:tr>
    </w:tbl>
    <w:p w14:paraId="5B432A51" w14:textId="77777777" w:rsidR="001D0CB2" w:rsidRDefault="00E27FE2">
      <w:pPr>
        <w:pStyle w:val="Beschriftung"/>
      </w:pPr>
      <w:bookmarkStart w:id="106" w:name="_Toc517508004"/>
      <w:r>
        <w:t xml:space="preserve">Tabelle </w:t>
      </w:r>
      <w:fldSimple w:instr=" SEQ Tabelle \* ARABIC ">
        <w:r w:rsidR="00072F0D">
          <w:rPr>
            <w:noProof/>
          </w:rPr>
          <w:t>7</w:t>
        </w:r>
      </w:fldSimple>
      <w:r>
        <w:t xml:space="preserve">: Beispiel bzgl. Ersetzen von </w:t>
      </w:r>
      <w:r w:rsidRPr="00F215B1">
        <w:t>Datentypen</w:t>
      </w:r>
      <w:bookmarkEnd w:id="106"/>
    </w:p>
    <w:p w14:paraId="3ABB4CFA" w14:textId="77777777" w:rsidR="001D0CB2" w:rsidRDefault="00E27FE2">
      <w:pPr>
        <w:pStyle w:val="berschrift2"/>
      </w:pPr>
      <w:bookmarkStart w:id="107" w:name="_Toc517507977"/>
      <w:r>
        <w:lastRenderedPageBreak/>
        <w:t>Darstellung des Risikos der Re-Identifizierung</w:t>
      </w:r>
      <w:bookmarkEnd w:id="107"/>
    </w:p>
    <w:p w14:paraId="3E84EDB5" w14:textId="77777777" w:rsidR="001D0CB2" w:rsidRDefault="00E27FE2">
      <w:r>
        <w:t>Eine Re-Identifizierung kann Teil des geplanten Ablaufes sein, wenn eine Re-Identifikation unter zuvor festgelegten Bedingungen beabsichtigt erfolgt, z. B. Kontaktierung des Patienten, da die Verarbeitungsergebnisse Einfluss auf seine Behandlung haben.</w:t>
      </w:r>
    </w:p>
    <w:p w14:paraId="0CA01F42" w14:textId="77777777" w:rsidR="001D0CB2" w:rsidRDefault="00E27FE2">
      <w:r>
        <w:t>Erfolgt eine Re-Identifikation als ungeplantes, insbesondere nicht beabsichtigtes Ereignis, kann eine derartige Re-Identifikation Risiken für die betroffene Person bergen.</w:t>
      </w:r>
    </w:p>
    <w:p w14:paraId="75DBED08" w14:textId="77777777" w:rsidR="001D0CB2" w:rsidRDefault="00E27FE2">
      <w:pPr>
        <w:pStyle w:val="berschrift3"/>
        <w:spacing w:before="0"/>
      </w:pPr>
      <w:bookmarkStart w:id="108" w:name="_Toc517507978"/>
      <w:r>
        <w:t>Risikodarstellung</w:t>
      </w:r>
      <w:bookmarkEnd w:id="108"/>
    </w:p>
    <w:p w14:paraId="112145BE" w14:textId="77777777" w:rsidR="001D0CB2" w:rsidRDefault="00E27FE2">
      <w:pPr>
        <w:spacing w:after="100"/>
      </w:pPr>
      <w:r>
        <w:t xml:space="preserve">Entscheidend für die Beurteilung des Risikos ist bereits das Vorhandensein der abstrakten Möglichkeit zur Identifikation von Betroffenen. Dabei sind die wesentlichen Risikofaktoren für eine Re-Identifizierung statistische Strukturen und Zusatzwissen. Selbst wenn Datensätze hoch effektiv und nach den aktuellsten </w:t>
      </w:r>
      <w:proofErr w:type="spellStart"/>
      <w:r>
        <w:t>kryptologischen</w:t>
      </w:r>
      <w:proofErr w:type="spellEnd"/>
      <w:r>
        <w:t xml:space="preserve"> Methoden geschützt sind, können statistische Auffälligkeiten dazu führen, dass ein Personenbezug - ggf. auch nur teilweise - wiederhergestellt werden kann. Dieses Risiko wird durch Verfügbarkeit von Zusatzwissen erheblich verstärkt.</w:t>
      </w:r>
    </w:p>
    <w:p w14:paraId="447D4AFC" w14:textId="77777777" w:rsidR="001D0CB2" w:rsidRDefault="00E27FE2">
      <w:pPr>
        <w:spacing w:after="0"/>
      </w:pPr>
      <w:r>
        <w:t>Beispiel: Die nachfolgende Tabelle scheint zunächst anonyme Daten zu enthalten.</w:t>
      </w:r>
    </w:p>
    <w:tbl>
      <w:tblPr>
        <w:tblW w:w="4410" w:type="dxa"/>
        <w:tblInd w:w="55" w:type="dxa"/>
        <w:tblCellMar>
          <w:left w:w="70" w:type="dxa"/>
          <w:right w:w="70" w:type="dxa"/>
        </w:tblCellMar>
        <w:tblLook w:val="04A0" w:firstRow="1" w:lastRow="0" w:firstColumn="1" w:lastColumn="0" w:noHBand="0" w:noVBand="1"/>
      </w:tblPr>
      <w:tblGrid>
        <w:gridCol w:w="1140"/>
        <w:gridCol w:w="1710"/>
        <w:gridCol w:w="851"/>
        <w:gridCol w:w="709"/>
      </w:tblGrid>
      <w:tr w:rsidR="001D0CB2" w14:paraId="735EEFA9" w14:textId="77777777">
        <w:trPr>
          <w:trHeight w:val="315"/>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291E5"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Geschlecht</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7E93CAB1"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6D3D39A"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PLZ</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769729F" w14:textId="77777777" w:rsidR="001D0CB2" w:rsidRDefault="00E27FE2">
            <w:pPr>
              <w:spacing w:after="0" w:line="240" w:lineRule="auto"/>
              <w:jc w:val="center"/>
              <w:rPr>
                <w:rFonts w:ascii="Calibri" w:eastAsia="Times New Roman" w:hAnsi="Calibri" w:cs="Times New Roman"/>
                <w:b/>
                <w:bCs/>
                <w:color w:val="000000"/>
                <w:lang w:eastAsia="de-DE"/>
              </w:rPr>
            </w:pPr>
            <w:r w:rsidRPr="006C6D59">
              <w:rPr>
                <w:rFonts w:ascii="Calibri" w:eastAsia="Times New Roman" w:hAnsi="Calibri" w:cs="Times New Roman"/>
                <w:b/>
                <w:bCs/>
                <w:color w:val="000000"/>
                <w:lang w:eastAsia="de-DE"/>
              </w:rPr>
              <w:t>ICD</w:t>
            </w:r>
          </w:p>
        </w:tc>
      </w:tr>
      <w:tr w:rsidR="001D0CB2" w14:paraId="6CC8E9A4"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1C1D258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25364F2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01.01.1983</w:t>
            </w:r>
          </w:p>
        </w:tc>
        <w:tc>
          <w:tcPr>
            <w:tcW w:w="851" w:type="dxa"/>
            <w:tcBorders>
              <w:top w:val="nil"/>
              <w:left w:val="nil"/>
              <w:bottom w:val="single" w:sz="8" w:space="0" w:color="auto"/>
              <w:right w:val="single" w:sz="8" w:space="0" w:color="auto"/>
            </w:tcBorders>
            <w:shd w:val="clear" w:color="auto" w:fill="auto"/>
            <w:vAlign w:val="bottom"/>
            <w:hideMark/>
          </w:tcPr>
          <w:p w14:paraId="2F86E56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1011</w:t>
            </w:r>
          </w:p>
        </w:tc>
        <w:tc>
          <w:tcPr>
            <w:tcW w:w="709" w:type="dxa"/>
            <w:tcBorders>
              <w:top w:val="nil"/>
              <w:left w:val="nil"/>
              <w:bottom w:val="single" w:sz="8" w:space="0" w:color="auto"/>
              <w:right w:val="single" w:sz="8" w:space="0" w:color="auto"/>
            </w:tcBorders>
            <w:shd w:val="clear" w:color="auto" w:fill="auto"/>
            <w:noWrap/>
            <w:vAlign w:val="bottom"/>
            <w:hideMark/>
          </w:tcPr>
          <w:p w14:paraId="651B8BA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C43</w:t>
            </w:r>
          </w:p>
        </w:tc>
      </w:tr>
      <w:tr w:rsidR="001D0CB2" w14:paraId="7782769E"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72B83B5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20C8DE0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01.01.1965</w:t>
            </w:r>
          </w:p>
        </w:tc>
        <w:tc>
          <w:tcPr>
            <w:tcW w:w="851" w:type="dxa"/>
            <w:tcBorders>
              <w:top w:val="nil"/>
              <w:left w:val="nil"/>
              <w:bottom w:val="single" w:sz="8" w:space="0" w:color="auto"/>
              <w:right w:val="single" w:sz="8" w:space="0" w:color="auto"/>
            </w:tcBorders>
            <w:shd w:val="clear" w:color="auto" w:fill="auto"/>
            <w:vAlign w:val="bottom"/>
            <w:hideMark/>
          </w:tcPr>
          <w:p w14:paraId="54F9BA2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1011</w:t>
            </w:r>
          </w:p>
        </w:tc>
        <w:tc>
          <w:tcPr>
            <w:tcW w:w="709" w:type="dxa"/>
            <w:tcBorders>
              <w:top w:val="nil"/>
              <w:left w:val="nil"/>
              <w:bottom w:val="single" w:sz="8" w:space="0" w:color="auto"/>
              <w:right w:val="single" w:sz="8" w:space="0" w:color="auto"/>
            </w:tcBorders>
            <w:shd w:val="clear" w:color="auto" w:fill="auto"/>
            <w:noWrap/>
            <w:vAlign w:val="bottom"/>
            <w:hideMark/>
          </w:tcPr>
          <w:p w14:paraId="0B66882A"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D22</w:t>
            </w:r>
          </w:p>
        </w:tc>
      </w:tr>
      <w:tr w:rsidR="001D0CB2" w14:paraId="4F97299F"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630D708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15A3B37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01.01.1977</w:t>
            </w:r>
          </w:p>
        </w:tc>
        <w:tc>
          <w:tcPr>
            <w:tcW w:w="851" w:type="dxa"/>
            <w:tcBorders>
              <w:top w:val="nil"/>
              <w:left w:val="nil"/>
              <w:bottom w:val="single" w:sz="8" w:space="0" w:color="auto"/>
              <w:right w:val="single" w:sz="8" w:space="0" w:color="auto"/>
            </w:tcBorders>
            <w:shd w:val="clear" w:color="auto" w:fill="auto"/>
            <w:vAlign w:val="bottom"/>
            <w:hideMark/>
          </w:tcPr>
          <w:p w14:paraId="4428480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1017</w:t>
            </w:r>
          </w:p>
        </w:tc>
        <w:tc>
          <w:tcPr>
            <w:tcW w:w="709" w:type="dxa"/>
            <w:tcBorders>
              <w:top w:val="nil"/>
              <w:left w:val="nil"/>
              <w:bottom w:val="single" w:sz="8" w:space="0" w:color="auto"/>
              <w:right w:val="single" w:sz="8" w:space="0" w:color="auto"/>
            </w:tcBorders>
            <w:shd w:val="clear" w:color="auto" w:fill="auto"/>
            <w:noWrap/>
            <w:vAlign w:val="bottom"/>
            <w:hideMark/>
          </w:tcPr>
          <w:p w14:paraId="585F0030"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C85</w:t>
            </w:r>
          </w:p>
        </w:tc>
      </w:tr>
      <w:tr w:rsidR="001D0CB2" w14:paraId="101036A1"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7524A01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191E585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01.01.1981</w:t>
            </w:r>
          </w:p>
        </w:tc>
        <w:tc>
          <w:tcPr>
            <w:tcW w:w="851" w:type="dxa"/>
            <w:tcBorders>
              <w:top w:val="nil"/>
              <w:left w:val="nil"/>
              <w:bottom w:val="single" w:sz="8" w:space="0" w:color="auto"/>
              <w:right w:val="single" w:sz="8" w:space="0" w:color="auto"/>
            </w:tcBorders>
            <w:shd w:val="clear" w:color="auto" w:fill="auto"/>
            <w:vAlign w:val="bottom"/>
            <w:hideMark/>
          </w:tcPr>
          <w:p w14:paraId="3C2FCE4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1024</w:t>
            </w:r>
          </w:p>
        </w:tc>
        <w:tc>
          <w:tcPr>
            <w:tcW w:w="709" w:type="dxa"/>
            <w:tcBorders>
              <w:top w:val="nil"/>
              <w:left w:val="nil"/>
              <w:bottom w:val="single" w:sz="8" w:space="0" w:color="auto"/>
              <w:right w:val="single" w:sz="8" w:space="0" w:color="auto"/>
            </w:tcBorders>
            <w:shd w:val="clear" w:color="auto" w:fill="auto"/>
            <w:noWrap/>
            <w:vAlign w:val="bottom"/>
            <w:hideMark/>
          </w:tcPr>
          <w:p w14:paraId="11088CDA"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D44</w:t>
            </w:r>
          </w:p>
        </w:tc>
      </w:tr>
      <w:tr w:rsidR="001D0CB2" w14:paraId="6ECE794A"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590C712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4D5D43D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01.01.1985</w:t>
            </w:r>
          </w:p>
        </w:tc>
        <w:tc>
          <w:tcPr>
            <w:tcW w:w="851" w:type="dxa"/>
            <w:tcBorders>
              <w:top w:val="nil"/>
              <w:left w:val="nil"/>
              <w:bottom w:val="single" w:sz="8" w:space="0" w:color="auto"/>
              <w:right w:val="single" w:sz="8" w:space="0" w:color="auto"/>
            </w:tcBorders>
            <w:shd w:val="clear" w:color="auto" w:fill="auto"/>
            <w:vAlign w:val="bottom"/>
            <w:hideMark/>
          </w:tcPr>
          <w:p w14:paraId="0DFFD60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1031</w:t>
            </w:r>
          </w:p>
        </w:tc>
        <w:tc>
          <w:tcPr>
            <w:tcW w:w="709" w:type="dxa"/>
            <w:tcBorders>
              <w:top w:val="nil"/>
              <w:left w:val="nil"/>
              <w:bottom w:val="single" w:sz="8" w:space="0" w:color="auto"/>
              <w:right w:val="single" w:sz="8" w:space="0" w:color="auto"/>
            </w:tcBorders>
            <w:shd w:val="clear" w:color="auto" w:fill="auto"/>
            <w:noWrap/>
            <w:vAlign w:val="bottom"/>
            <w:hideMark/>
          </w:tcPr>
          <w:p w14:paraId="2AC1FB32"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C18</w:t>
            </w:r>
          </w:p>
        </w:tc>
      </w:tr>
      <w:tr w:rsidR="001D0CB2" w14:paraId="6706A18D"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20FFAB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3A1197BE"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01.01.1987</w:t>
            </w:r>
          </w:p>
        </w:tc>
        <w:tc>
          <w:tcPr>
            <w:tcW w:w="851" w:type="dxa"/>
            <w:tcBorders>
              <w:top w:val="nil"/>
              <w:left w:val="nil"/>
              <w:bottom w:val="single" w:sz="8" w:space="0" w:color="auto"/>
              <w:right w:val="single" w:sz="8" w:space="0" w:color="auto"/>
            </w:tcBorders>
            <w:shd w:val="clear" w:color="auto" w:fill="auto"/>
            <w:vAlign w:val="bottom"/>
            <w:hideMark/>
          </w:tcPr>
          <w:p w14:paraId="4FF7316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1040</w:t>
            </w:r>
          </w:p>
        </w:tc>
        <w:tc>
          <w:tcPr>
            <w:tcW w:w="709" w:type="dxa"/>
            <w:tcBorders>
              <w:top w:val="nil"/>
              <w:left w:val="nil"/>
              <w:bottom w:val="single" w:sz="8" w:space="0" w:color="auto"/>
              <w:right w:val="single" w:sz="8" w:space="0" w:color="auto"/>
            </w:tcBorders>
            <w:shd w:val="clear" w:color="auto" w:fill="auto"/>
            <w:noWrap/>
            <w:vAlign w:val="bottom"/>
            <w:hideMark/>
          </w:tcPr>
          <w:p w14:paraId="592E79E1"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w:t>
            </w:r>
          </w:p>
        </w:tc>
      </w:tr>
      <w:tr w:rsidR="001D0CB2" w14:paraId="65A15269"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4707EE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6AC063B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01.01.1988</w:t>
            </w:r>
          </w:p>
        </w:tc>
        <w:tc>
          <w:tcPr>
            <w:tcW w:w="851" w:type="dxa"/>
            <w:tcBorders>
              <w:top w:val="nil"/>
              <w:left w:val="nil"/>
              <w:bottom w:val="single" w:sz="8" w:space="0" w:color="auto"/>
              <w:right w:val="single" w:sz="8" w:space="0" w:color="auto"/>
            </w:tcBorders>
            <w:shd w:val="clear" w:color="auto" w:fill="auto"/>
            <w:vAlign w:val="bottom"/>
            <w:hideMark/>
          </w:tcPr>
          <w:p w14:paraId="71BE457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1043</w:t>
            </w:r>
          </w:p>
        </w:tc>
        <w:tc>
          <w:tcPr>
            <w:tcW w:w="709" w:type="dxa"/>
            <w:tcBorders>
              <w:top w:val="nil"/>
              <w:left w:val="nil"/>
              <w:bottom w:val="single" w:sz="8" w:space="0" w:color="auto"/>
              <w:right w:val="single" w:sz="8" w:space="0" w:color="auto"/>
            </w:tcBorders>
            <w:shd w:val="clear" w:color="auto" w:fill="auto"/>
            <w:noWrap/>
            <w:vAlign w:val="bottom"/>
            <w:hideMark/>
          </w:tcPr>
          <w:p w14:paraId="2B7C965E"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C16</w:t>
            </w:r>
          </w:p>
        </w:tc>
      </w:tr>
      <w:tr w:rsidR="001D0CB2" w14:paraId="5AD0D08C"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78E3842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4B5279C1"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01.01.1968</w:t>
            </w:r>
          </w:p>
        </w:tc>
        <w:tc>
          <w:tcPr>
            <w:tcW w:w="851" w:type="dxa"/>
            <w:tcBorders>
              <w:top w:val="nil"/>
              <w:left w:val="nil"/>
              <w:bottom w:val="single" w:sz="8" w:space="0" w:color="auto"/>
              <w:right w:val="single" w:sz="8" w:space="0" w:color="auto"/>
            </w:tcBorders>
            <w:shd w:val="clear" w:color="auto" w:fill="auto"/>
            <w:vAlign w:val="bottom"/>
            <w:hideMark/>
          </w:tcPr>
          <w:p w14:paraId="3615BF0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1043</w:t>
            </w:r>
          </w:p>
        </w:tc>
        <w:tc>
          <w:tcPr>
            <w:tcW w:w="709" w:type="dxa"/>
            <w:tcBorders>
              <w:top w:val="nil"/>
              <w:left w:val="nil"/>
              <w:bottom w:val="single" w:sz="8" w:space="0" w:color="auto"/>
              <w:right w:val="single" w:sz="8" w:space="0" w:color="auto"/>
            </w:tcBorders>
            <w:shd w:val="clear" w:color="auto" w:fill="auto"/>
            <w:noWrap/>
            <w:vAlign w:val="bottom"/>
            <w:hideMark/>
          </w:tcPr>
          <w:p w14:paraId="7B4D2D5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D46</w:t>
            </w:r>
          </w:p>
        </w:tc>
      </w:tr>
      <w:tr w:rsidR="001D0CB2" w14:paraId="685920A3"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17DD6D6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24BA69B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01.01.1978</w:t>
            </w:r>
          </w:p>
        </w:tc>
        <w:tc>
          <w:tcPr>
            <w:tcW w:w="851" w:type="dxa"/>
            <w:tcBorders>
              <w:top w:val="nil"/>
              <w:left w:val="nil"/>
              <w:bottom w:val="single" w:sz="8" w:space="0" w:color="auto"/>
              <w:right w:val="single" w:sz="8" w:space="0" w:color="auto"/>
            </w:tcBorders>
            <w:shd w:val="clear" w:color="auto" w:fill="auto"/>
            <w:vAlign w:val="bottom"/>
            <w:hideMark/>
          </w:tcPr>
          <w:p w14:paraId="1E75BFB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1058</w:t>
            </w:r>
          </w:p>
        </w:tc>
        <w:tc>
          <w:tcPr>
            <w:tcW w:w="709" w:type="dxa"/>
            <w:tcBorders>
              <w:top w:val="nil"/>
              <w:left w:val="nil"/>
              <w:bottom w:val="single" w:sz="8" w:space="0" w:color="auto"/>
              <w:right w:val="single" w:sz="8" w:space="0" w:color="auto"/>
            </w:tcBorders>
            <w:shd w:val="clear" w:color="auto" w:fill="auto"/>
            <w:noWrap/>
            <w:vAlign w:val="bottom"/>
            <w:hideMark/>
          </w:tcPr>
          <w:p w14:paraId="2649629E"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3D8C6F3A"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3E45F3D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1CA95FA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01.01.1969</w:t>
            </w:r>
          </w:p>
        </w:tc>
        <w:tc>
          <w:tcPr>
            <w:tcW w:w="851" w:type="dxa"/>
            <w:tcBorders>
              <w:top w:val="nil"/>
              <w:left w:val="nil"/>
              <w:bottom w:val="single" w:sz="8" w:space="0" w:color="auto"/>
              <w:right w:val="single" w:sz="8" w:space="0" w:color="auto"/>
            </w:tcBorders>
            <w:shd w:val="clear" w:color="auto" w:fill="auto"/>
            <w:vAlign w:val="bottom"/>
            <w:hideMark/>
          </w:tcPr>
          <w:p w14:paraId="28C7082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1070</w:t>
            </w:r>
          </w:p>
        </w:tc>
        <w:tc>
          <w:tcPr>
            <w:tcW w:w="709" w:type="dxa"/>
            <w:tcBorders>
              <w:top w:val="nil"/>
              <w:left w:val="nil"/>
              <w:bottom w:val="single" w:sz="8" w:space="0" w:color="auto"/>
              <w:right w:val="single" w:sz="8" w:space="0" w:color="auto"/>
            </w:tcBorders>
            <w:shd w:val="clear" w:color="auto" w:fill="auto"/>
            <w:noWrap/>
            <w:vAlign w:val="bottom"/>
            <w:hideMark/>
          </w:tcPr>
          <w:p w14:paraId="7691418B"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C91</w:t>
            </w:r>
          </w:p>
        </w:tc>
      </w:tr>
      <w:tr w:rsidR="001D0CB2" w14:paraId="6EA09A6A"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4F93D61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758A12C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01.01.1967</w:t>
            </w:r>
          </w:p>
        </w:tc>
        <w:tc>
          <w:tcPr>
            <w:tcW w:w="851" w:type="dxa"/>
            <w:tcBorders>
              <w:top w:val="nil"/>
              <w:left w:val="nil"/>
              <w:bottom w:val="single" w:sz="8" w:space="0" w:color="auto"/>
              <w:right w:val="single" w:sz="8" w:space="0" w:color="auto"/>
            </w:tcBorders>
            <w:shd w:val="clear" w:color="auto" w:fill="auto"/>
            <w:vAlign w:val="bottom"/>
            <w:hideMark/>
          </w:tcPr>
          <w:p w14:paraId="4CFEC93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1071</w:t>
            </w:r>
          </w:p>
        </w:tc>
        <w:tc>
          <w:tcPr>
            <w:tcW w:w="709" w:type="dxa"/>
            <w:tcBorders>
              <w:top w:val="nil"/>
              <w:left w:val="nil"/>
              <w:bottom w:val="single" w:sz="8" w:space="0" w:color="auto"/>
              <w:right w:val="single" w:sz="8" w:space="0" w:color="auto"/>
            </w:tcBorders>
            <w:shd w:val="clear" w:color="auto" w:fill="auto"/>
            <w:noWrap/>
            <w:vAlign w:val="bottom"/>
            <w:hideMark/>
          </w:tcPr>
          <w:p w14:paraId="6579042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w:t>
            </w:r>
          </w:p>
        </w:tc>
      </w:tr>
      <w:tr w:rsidR="001D0CB2" w14:paraId="1AED065D"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2250BD5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710" w:type="dxa"/>
            <w:tcBorders>
              <w:top w:val="nil"/>
              <w:left w:val="nil"/>
              <w:bottom w:val="single" w:sz="8" w:space="0" w:color="auto"/>
              <w:right w:val="single" w:sz="8" w:space="0" w:color="auto"/>
            </w:tcBorders>
            <w:shd w:val="clear" w:color="auto" w:fill="auto"/>
            <w:vAlign w:val="bottom"/>
            <w:hideMark/>
          </w:tcPr>
          <w:p w14:paraId="0E7C443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01.01.1991</w:t>
            </w:r>
          </w:p>
        </w:tc>
        <w:tc>
          <w:tcPr>
            <w:tcW w:w="851" w:type="dxa"/>
            <w:tcBorders>
              <w:top w:val="nil"/>
              <w:left w:val="nil"/>
              <w:bottom w:val="single" w:sz="8" w:space="0" w:color="auto"/>
              <w:right w:val="single" w:sz="8" w:space="0" w:color="auto"/>
            </w:tcBorders>
            <w:shd w:val="clear" w:color="auto" w:fill="auto"/>
            <w:vAlign w:val="bottom"/>
            <w:hideMark/>
          </w:tcPr>
          <w:p w14:paraId="5051BFC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1071</w:t>
            </w:r>
          </w:p>
        </w:tc>
        <w:tc>
          <w:tcPr>
            <w:tcW w:w="709" w:type="dxa"/>
            <w:tcBorders>
              <w:top w:val="nil"/>
              <w:left w:val="nil"/>
              <w:bottom w:val="single" w:sz="8" w:space="0" w:color="auto"/>
              <w:right w:val="single" w:sz="8" w:space="0" w:color="auto"/>
            </w:tcBorders>
            <w:shd w:val="clear" w:color="auto" w:fill="auto"/>
            <w:noWrap/>
            <w:vAlign w:val="bottom"/>
            <w:hideMark/>
          </w:tcPr>
          <w:p w14:paraId="6B363DC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D12</w:t>
            </w:r>
          </w:p>
        </w:tc>
      </w:tr>
      <w:tr w:rsidR="001D0CB2" w14:paraId="04AFF304"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1219D60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0435C0B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01.01.1987</w:t>
            </w:r>
          </w:p>
        </w:tc>
        <w:tc>
          <w:tcPr>
            <w:tcW w:w="851" w:type="dxa"/>
            <w:tcBorders>
              <w:top w:val="nil"/>
              <w:left w:val="nil"/>
              <w:bottom w:val="single" w:sz="8" w:space="0" w:color="auto"/>
              <w:right w:val="single" w:sz="8" w:space="0" w:color="auto"/>
            </w:tcBorders>
            <w:shd w:val="clear" w:color="auto" w:fill="auto"/>
            <w:vAlign w:val="bottom"/>
            <w:hideMark/>
          </w:tcPr>
          <w:p w14:paraId="1D2FCA7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1078</w:t>
            </w:r>
          </w:p>
        </w:tc>
        <w:tc>
          <w:tcPr>
            <w:tcW w:w="709" w:type="dxa"/>
            <w:tcBorders>
              <w:top w:val="nil"/>
              <w:left w:val="nil"/>
              <w:bottom w:val="single" w:sz="8" w:space="0" w:color="auto"/>
              <w:right w:val="single" w:sz="8" w:space="0" w:color="auto"/>
            </w:tcBorders>
            <w:shd w:val="clear" w:color="auto" w:fill="auto"/>
            <w:noWrap/>
            <w:vAlign w:val="bottom"/>
            <w:hideMark/>
          </w:tcPr>
          <w:p w14:paraId="4D77B6E3"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1953D2B6"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6D0A9E0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4B5DF1A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01.01.1983</w:t>
            </w:r>
          </w:p>
        </w:tc>
        <w:tc>
          <w:tcPr>
            <w:tcW w:w="851" w:type="dxa"/>
            <w:tcBorders>
              <w:top w:val="nil"/>
              <w:left w:val="nil"/>
              <w:bottom w:val="single" w:sz="8" w:space="0" w:color="auto"/>
              <w:right w:val="single" w:sz="8" w:space="0" w:color="auto"/>
            </w:tcBorders>
            <w:shd w:val="clear" w:color="auto" w:fill="auto"/>
            <w:vAlign w:val="bottom"/>
            <w:hideMark/>
          </w:tcPr>
          <w:p w14:paraId="6E0D400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1082</w:t>
            </w:r>
          </w:p>
        </w:tc>
        <w:tc>
          <w:tcPr>
            <w:tcW w:w="709" w:type="dxa"/>
            <w:tcBorders>
              <w:top w:val="nil"/>
              <w:left w:val="nil"/>
              <w:bottom w:val="single" w:sz="8" w:space="0" w:color="auto"/>
              <w:right w:val="single" w:sz="8" w:space="0" w:color="auto"/>
            </w:tcBorders>
            <w:shd w:val="clear" w:color="auto" w:fill="auto"/>
            <w:noWrap/>
            <w:vAlign w:val="bottom"/>
            <w:hideMark/>
          </w:tcPr>
          <w:p w14:paraId="0D5F3A7F"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C50</w:t>
            </w:r>
          </w:p>
        </w:tc>
      </w:tr>
      <w:tr w:rsidR="001D0CB2" w14:paraId="33D060FE" w14:textId="77777777">
        <w:trPr>
          <w:trHeight w:val="315"/>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3FC748E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710" w:type="dxa"/>
            <w:tcBorders>
              <w:top w:val="nil"/>
              <w:left w:val="nil"/>
              <w:bottom w:val="single" w:sz="8" w:space="0" w:color="auto"/>
              <w:right w:val="single" w:sz="8" w:space="0" w:color="auto"/>
            </w:tcBorders>
            <w:shd w:val="clear" w:color="auto" w:fill="auto"/>
            <w:vAlign w:val="bottom"/>
            <w:hideMark/>
          </w:tcPr>
          <w:p w14:paraId="5B4506B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01.01.1975</w:t>
            </w:r>
          </w:p>
        </w:tc>
        <w:tc>
          <w:tcPr>
            <w:tcW w:w="851" w:type="dxa"/>
            <w:tcBorders>
              <w:top w:val="nil"/>
              <w:left w:val="nil"/>
              <w:bottom w:val="single" w:sz="8" w:space="0" w:color="auto"/>
              <w:right w:val="single" w:sz="8" w:space="0" w:color="auto"/>
            </w:tcBorders>
            <w:shd w:val="clear" w:color="auto" w:fill="auto"/>
            <w:vAlign w:val="bottom"/>
            <w:hideMark/>
          </w:tcPr>
          <w:p w14:paraId="021F357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1096</w:t>
            </w:r>
          </w:p>
        </w:tc>
        <w:tc>
          <w:tcPr>
            <w:tcW w:w="709" w:type="dxa"/>
            <w:tcBorders>
              <w:top w:val="nil"/>
              <w:left w:val="nil"/>
              <w:bottom w:val="single" w:sz="8" w:space="0" w:color="auto"/>
              <w:right w:val="single" w:sz="8" w:space="0" w:color="auto"/>
            </w:tcBorders>
            <w:shd w:val="clear" w:color="auto" w:fill="auto"/>
            <w:noWrap/>
            <w:vAlign w:val="bottom"/>
            <w:hideMark/>
          </w:tcPr>
          <w:p w14:paraId="02528BF8"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C83</w:t>
            </w:r>
          </w:p>
        </w:tc>
      </w:tr>
    </w:tbl>
    <w:p w14:paraId="5C25CE14" w14:textId="77777777" w:rsidR="001D0CB2" w:rsidRDefault="00E27FE2">
      <w:pPr>
        <w:pStyle w:val="Beschriftung"/>
        <w:rPr>
          <w:noProof/>
        </w:rPr>
      </w:pPr>
      <w:bookmarkStart w:id="109" w:name="_Ref512619024"/>
      <w:bookmarkStart w:id="110" w:name="_Toc517508005"/>
      <w:r>
        <w:t xml:space="preserve">Tabelle </w:t>
      </w:r>
      <w:fldSimple w:instr=" SEQ Tabelle \* ARABIC ">
        <w:r w:rsidR="00072F0D">
          <w:rPr>
            <w:noProof/>
          </w:rPr>
          <w:t>8</w:t>
        </w:r>
      </w:fldSimple>
      <w:bookmarkEnd w:id="109"/>
      <w:r>
        <w:t>:</w:t>
      </w:r>
      <w:r>
        <w:rPr>
          <w:noProof/>
        </w:rPr>
        <w:t xml:space="preserve"> </w:t>
      </w:r>
      <w:r w:rsidRPr="00F215B1">
        <w:rPr>
          <w:noProof/>
        </w:rPr>
        <w:t>Auf</w:t>
      </w:r>
      <w:r>
        <w:rPr>
          <w:noProof/>
        </w:rPr>
        <w:t xml:space="preserve"> Anonymität zu prüfendes </w:t>
      </w:r>
      <w:r w:rsidRPr="00F215B1">
        <w:rPr>
          <w:noProof/>
        </w:rPr>
        <w:t>Ergebnis</w:t>
      </w:r>
      <w:bookmarkEnd w:id="110"/>
    </w:p>
    <w:tbl>
      <w:tblPr>
        <w:tblW w:w="6111" w:type="dxa"/>
        <w:tblInd w:w="55" w:type="dxa"/>
        <w:tblCellMar>
          <w:left w:w="70" w:type="dxa"/>
          <w:right w:w="70" w:type="dxa"/>
        </w:tblCellMar>
        <w:tblLook w:val="04A0" w:firstRow="1" w:lastRow="0" w:firstColumn="1" w:lastColumn="0" w:noHBand="0" w:noVBand="1"/>
      </w:tblPr>
      <w:tblGrid>
        <w:gridCol w:w="1200"/>
        <w:gridCol w:w="1200"/>
        <w:gridCol w:w="1140"/>
        <w:gridCol w:w="1422"/>
        <w:gridCol w:w="1149"/>
      </w:tblGrid>
      <w:tr w:rsidR="001D0CB2" w14:paraId="52D3A4B5" w14:textId="77777777" w:rsidTr="00D8462D">
        <w:trPr>
          <w:trHeight w:val="315"/>
          <w:tblHead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FB759"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Vorname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009A241"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Nachname</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14:paraId="4CA2780C"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Geschlecht</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14:paraId="0FE4356F"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Geb.-Datum</w:t>
            </w:r>
          </w:p>
        </w:tc>
        <w:tc>
          <w:tcPr>
            <w:tcW w:w="1149" w:type="dxa"/>
            <w:tcBorders>
              <w:top w:val="single" w:sz="8" w:space="0" w:color="auto"/>
              <w:left w:val="nil"/>
              <w:bottom w:val="single" w:sz="8" w:space="0" w:color="auto"/>
              <w:right w:val="single" w:sz="8" w:space="0" w:color="auto"/>
            </w:tcBorders>
            <w:shd w:val="clear" w:color="auto" w:fill="auto"/>
            <w:noWrap/>
            <w:vAlign w:val="center"/>
            <w:hideMark/>
          </w:tcPr>
          <w:p w14:paraId="40E2AB55" w14:textId="77777777" w:rsidR="001D0CB2" w:rsidRDefault="00E27FE2">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PLZ</w:t>
            </w:r>
          </w:p>
        </w:tc>
      </w:tr>
      <w:tr w:rsidR="001D0CB2" w14:paraId="2B56E427"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1C62A2E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Heike</w:t>
            </w:r>
          </w:p>
        </w:tc>
        <w:tc>
          <w:tcPr>
            <w:tcW w:w="1200" w:type="dxa"/>
            <w:tcBorders>
              <w:top w:val="nil"/>
              <w:left w:val="nil"/>
              <w:bottom w:val="single" w:sz="8" w:space="0" w:color="auto"/>
              <w:right w:val="single" w:sz="8" w:space="0" w:color="auto"/>
            </w:tcBorders>
            <w:shd w:val="clear" w:color="auto" w:fill="auto"/>
            <w:vAlign w:val="bottom"/>
            <w:hideMark/>
          </w:tcPr>
          <w:p w14:paraId="0F0F2D2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Richter</w:t>
            </w:r>
          </w:p>
        </w:tc>
        <w:tc>
          <w:tcPr>
            <w:tcW w:w="1140" w:type="dxa"/>
            <w:tcBorders>
              <w:top w:val="nil"/>
              <w:left w:val="nil"/>
              <w:bottom w:val="single" w:sz="8" w:space="0" w:color="auto"/>
              <w:right w:val="single" w:sz="8" w:space="0" w:color="auto"/>
            </w:tcBorders>
            <w:shd w:val="clear" w:color="auto" w:fill="auto"/>
            <w:vAlign w:val="bottom"/>
            <w:hideMark/>
          </w:tcPr>
          <w:p w14:paraId="54446A2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5FA9B92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11.05.1983</w:t>
            </w:r>
          </w:p>
        </w:tc>
        <w:tc>
          <w:tcPr>
            <w:tcW w:w="1149" w:type="dxa"/>
            <w:tcBorders>
              <w:top w:val="nil"/>
              <w:left w:val="nil"/>
              <w:bottom w:val="single" w:sz="8" w:space="0" w:color="auto"/>
              <w:right w:val="single" w:sz="8" w:space="0" w:color="auto"/>
            </w:tcBorders>
            <w:shd w:val="clear" w:color="auto" w:fill="auto"/>
            <w:vAlign w:val="bottom"/>
            <w:hideMark/>
          </w:tcPr>
          <w:p w14:paraId="0D30FC9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10115</w:t>
            </w:r>
          </w:p>
        </w:tc>
      </w:tr>
      <w:tr w:rsidR="001D0CB2" w14:paraId="4C9884AF"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3F7B87F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Jan</w:t>
            </w:r>
          </w:p>
        </w:tc>
        <w:tc>
          <w:tcPr>
            <w:tcW w:w="1200" w:type="dxa"/>
            <w:tcBorders>
              <w:top w:val="nil"/>
              <w:left w:val="nil"/>
              <w:bottom w:val="single" w:sz="8" w:space="0" w:color="auto"/>
              <w:right w:val="single" w:sz="8" w:space="0" w:color="auto"/>
            </w:tcBorders>
            <w:shd w:val="clear" w:color="auto" w:fill="auto"/>
            <w:vAlign w:val="bottom"/>
            <w:hideMark/>
          </w:tcPr>
          <w:p w14:paraId="011B890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Schröder</w:t>
            </w:r>
          </w:p>
        </w:tc>
        <w:tc>
          <w:tcPr>
            <w:tcW w:w="1140" w:type="dxa"/>
            <w:tcBorders>
              <w:top w:val="nil"/>
              <w:left w:val="nil"/>
              <w:bottom w:val="single" w:sz="8" w:space="0" w:color="auto"/>
              <w:right w:val="single" w:sz="8" w:space="0" w:color="auto"/>
            </w:tcBorders>
            <w:shd w:val="clear" w:color="auto" w:fill="auto"/>
            <w:vAlign w:val="bottom"/>
            <w:hideMark/>
          </w:tcPr>
          <w:p w14:paraId="1864FF9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75AE8EE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03.12.1965</w:t>
            </w:r>
          </w:p>
        </w:tc>
        <w:tc>
          <w:tcPr>
            <w:tcW w:w="1149" w:type="dxa"/>
            <w:tcBorders>
              <w:top w:val="nil"/>
              <w:left w:val="nil"/>
              <w:bottom w:val="single" w:sz="8" w:space="0" w:color="auto"/>
              <w:right w:val="single" w:sz="8" w:space="0" w:color="auto"/>
            </w:tcBorders>
            <w:shd w:val="clear" w:color="auto" w:fill="auto"/>
            <w:vAlign w:val="bottom"/>
            <w:hideMark/>
          </w:tcPr>
          <w:p w14:paraId="44AD6F6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10115</w:t>
            </w:r>
          </w:p>
        </w:tc>
      </w:tr>
      <w:tr w:rsidR="001D0CB2" w14:paraId="5DDE1D99"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1227107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Hugo-Egon</w:t>
            </w:r>
          </w:p>
        </w:tc>
        <w:tc>
          <w:tcPr>
            <w:tcW w:w="1200" w:type="dxa"/>
            <w:tcBorders>
              <w:top w:val="nil"/>
              <w:left w:val="nil"/>
              <w:bottom w:val="single" w:sz="8" w:space="0" w:color="auto"/>
              <w:right w:val="single" w:sz="8" w:space="0" w:color="auto"/>
            </w:tcBorders>
            <w:shd w:val="clear" w:color="auto" w:fill="auto"/>
            <w:vAlign w:val="bottom"/>
            <w:hideMark/>
          </w:tcPr>
          <w:p w14:paraId="7FB00F87"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Meyer</w:t>
            </w:r>
          </w:p>
        </w:tc>
        <w:tc>
          <w:tcPr>
            <w:tcW w:w="1140" w:type="dxa"/>
            <w:tcBorders>
              <w:top w:val="nil"/>
              <w:left w:val="nil"/>
              <w:bottom w:val="single" w:sz="8" w:space="0" w:color="auto"/>
              <w:right w:val="single" w:sz="8" w:space="0" w:color="auto"/>
            </w:tcBorders>
            <w:shd w:val="clear" w:color="auto" w:fill="auto"/>
            <w:vAlign w:val="bottom"/>
            <w:hideMark/>
          </w:tcPr>
          <w:p w14:paraId="2050ADD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522B195B"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27.08.1977</w:t>
            </w:r>
          </w:p>
        </w:tc>
        <w:tc>
          <w:tcPr>
            <w:tcW w:w="1149" w:type="dxa"/>
            <w:tcBorders>
              <w:top w:val="nil"/>
              <w:left w:val="nil"/>
              <w:bottom w:val="single" w:sz="8" w:space="0" w:color="auto"/>
              <w:right w:val="single" w:sz="8" w:space="0" w:color="auto"/>
            </w:tcBorders>
            <w:shd w:val="clear" w:color="auto" w:fill="auto"/>
            <w:vAlign w:val="bottom"/>
            <w:hideMark/>
          </w:tcPr>
          <w:p w14:paraId="5A788DA0"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10178</w:t>
            </w:r>
          </w:p>
        </w:tc>
      </w:tr>
      <w:tr w:rsidR="001D0CB2" w14:paraId="0D5C9EA9"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2D2254B2"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Eckbert</w:t>
            </w:r>
          </w:p>
        </w:tc>
        <w:tc>
          <w:tcPr>
            <w:tcW w:w="1200" w:type="dxa"/>
            <w:tcBorders>
              <w:top w:val="nil"/>
              <w:left w:val="nil"/>
              <w:bottom w:val="single" w:sz="8" w:space="0" w:color="auto"/>
              <w:right w:val="single" w:sz="8" w:space="0" w:color="auto"/>
            </w:tcBorders>
            <w:shd w:val="clear" w:color="auto" w:fill="auto"/>
            <w:vAlign w:val="bottom"/>
            <w:hideMark/>
          </w:tcPr>
          <w:p w14:paraId="1917E98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Schneider</w:t>
            </w:r>
          </w:p>
        </w:tc>
        <w:tc>
          <w:tcPr>
            <w:tcW w:w="1140" w:type="dxa"/>
            <w:tcBorders>
              <w:top w:val="nil"/>
              <w:left w:val="nil"/>
              <w:bottom w:val="single" w:sz="8" w:space="0" w:color="auto"/>
              <w:right w:val="single" w:sz="8" w:space="0" w:color="auto"/>
            </w:tcBorders>
            <w:shd w:val="clear" w:color="auto" w:fill="auto"/>
            <w:vAlign w:val="bottom"/>
            <w:hideMark/>
          </w:tcPr>
          <w:p w14:paraId="4567017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1BAF094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23.12.1981</w:t>
            </w:r>
          </w:p>
        </w:tc>
        <w:tc>
          <w:tcPr>
            <w:tcW w:w="1149" w:type="dxa"/>
            <w:tcBorders>
              <w:top w:val="nil"/>
              <w:left w:val="nil"/>
              <w:bottom w:val="single" w:sz="8" w:space="0" w:color="auto"/>
              <w:right w:val="single" w:sz="8" w:space="0" w:color="auto"/>
            </w:tcBorders>
            <w:shd w:val="clear" w:color="auto" w:fill="auto"/>
            <w:vAlign w:val="bottom"/>
            <w:hideMark/>
          </w:tcPr>
          <w:p w14:paraId="25035EE8"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10247</w:t>
            </w:r>
          </w:p>
        </w:tc>
      </w:tr>
      <w:tr w:rsidR="001D0CB2" w14:paraId="0CCF120C"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353F6B9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Jürgen</w:t>
            </w:r>
          </w:p>
        </w:tc>
        <w:tc>
          <w:tcPr>
            <w:tcW w:w="1200" w:type="dxa"/>
            <w:tcBorders>
              <w:top w:val="nil"/>
              <w:left w:val="nil"/>
              <w:bottom w:val="single" w:sz="8" w:space="0" w:color="auto"/>
              <w:right w:val="single" w:sz="8" w:space="0" w:color="auto"/>
            </w:tcBorders>
            <w:shd w:val="clear" w:color="auto" w:fill="auto"/>
            <w:vAlign w:val="bottom"/>
            <w:hideMark/>
          </w:tcPr>
          <w:p w14:paraId="5D0F9AE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Stillstand</w:t>
            </w:r>
          </w:p>
        </w:tc>
        <w:tc>
          <w:tcPr>
            <w:tcW w:w="1140" w:type="dxa"/>
            <w:tcBorders>
              <w:top w:val="nil"/>
              <w:left w:val="nil"/>
              <w:bottom w:val="single" w:sz="8" w:space="0" w:color="auto"/>
              <w:right w:val="single" w:sz="8" w:space="0" w:color="auto"/>
            </w:tcBorders>
            <w:shd w:val="clear" w:color="auto" w:fill="auto"/>
            <w:vAlign w:val="bottom"/>
            <w:hideMark/>
          </w:tcPr>
          <w:p w14:paraId="3AB5A2D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6534408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29.11.1985</w:t>
            </w:r>
          </w:p>
        </w:tc>
        <w:tc>
          <w:tcPr>
            <w:tcW w:w="1149" w:type="dxa"/>
            <w:tcBorders>
              <w:top w:val="nil"/>
              <w:left w:val="nil"/>
              <w:bottom w:val="single" w:sz="8" w:space="0" w:color="auto"/>
              <w:right w:val="single" w:sz="8" w:space="0" w:color="auto"/>
            </w:tcBorders>
            <w:shd w:val="clear" w:color="auto" w:fill="auto"/>
            <w:vAlign w:val="bottom"/>
            <w:hideMark/>
          </w:tcPr>
          <w:p w14:paraId="209B9C7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10319</w:t>
            </w:r>
          </w:p>
        </w:tc>
      </w:tr>
      <w:tr w:rsidR="001D0CB2" w14:paraId="43D6406E"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7EF4176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Hiltrud</w:t>
            </w:r>
          </w:p>
        </w:tc>
        <w:tc>
          <w:tcPr>
            <w:tcW w:w="1200" w:type="dxa"/>
            <w:tcBorders>
              <w:top w:val="nil"/>
              <w:left w:val="nil"/>
              <w:bottom w:val="single" w:sz="8" w:space="0" w:color="auto"/>
              <w:right w:val="single" w:sz="8" w:space="0" w:color="auto"/>
            </w:tcBorders>
            <w:shd w:val="clear" w:color="auto" w:fill="auto"/>
            <w:vAlign w:val="bottom"/>
            <w:hideMark/>
          </w:tcPr>
          <w:p w14:paraId="7532710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Niemand</w:t>
            </w:r>
          </w:p>
        </w:tc>
        <w:tc>
          <w:tcPr>
            <w:tcW w:w="1140" w:type="dxa"/>
            <w:tcBorders>
              <w:top w:val="nil"/>
              <w:left w:val="nil"/>
              <w:bottom w:val="single" w:sz="8" w:space="0" w:color="auto"/>
              <w:right w:val="single" w:sz="8" w:space="0" w:color="auto"/>
            </w:tcBorders>
            <w:shd w:val="clear" w:color="auto" w:fill="auto"/>
            <w:vAlign w:val="bottom"/>
            <w:hideMark/>
          </w:tcPr>
          <w:p w14:paraId="2B26222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70FA316C"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15.07.1987</w:t>
            </w:r>
          </w:p>
        </w:tc>
        <w:tc>
          <w:tcPr>
            <w:tcW w:w="1149" w:type="dxa"/>
            <w:tcBorders>
              <w:top w:val="nil"/>
              <w:left w:val="nil"/>
              <w:bottom w:val="single" w:sz="8" w:space="0" w:color="auto"/>
              <w:right w:val="single" w:sz="8" w:space="0" w:color="auto"/>
            </w:tcBorders>
            <w:shd w:val="clear" w:color="auto" w:fill="auto"/>
            <w:vAlign w:val="bottom"/>
            <w:hideMark/>
          </w:tcPr>
          <w:p w14:paraId="4946FFF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10407</w:t>
            </w:r>
          </w:p>
        </w:tc>
      </w:tr>
      <w:tr w:rsidR="001D0CB2" w14:paraId="2C6CEE70"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0D72A16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Uwe</w:t>
            </w:r>
          </w:p>
        </w:tc>
        <w:tc>
          <w:tcPr>
            <w:tcW w:w="1200" w:type="dxa"/>
            <w:tcBorders>
              <w:top w:val="nil"/>
              <w:left w:val="nil"/>
              <w:bottom w:val="single" w:sz="8" w:space="0" w:color="auto"/>
              <w:right w:val="single" w:sz="8" w:space="0" w:color="auto"/>
            </w:tcBorders>
            <w:shd w:val="clear" w:color="auto" w:fill="auto"/>
            <w:vAlign w:val="bottom"/>
            <w:hideMark/>
          </w:tcPr>
          <w:p w14:paraId="01A7371A"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Müller</w:t>
            </w:r>
          </w:p>
        </w:tc>
        <w:tc>
          <w:tcPr>
            <w:tcW w:w="1140" w:type="dxa"/>
            <w:tcBorders>
              <w:top w:val="nil"/>
              <w:left w:val="nil"/>
              <w:bottom w:val="single" w:sz="8" w:space="0" w:color="auto"/>
              <w:right w:val="single" w:sz="8" w:space="0" w:color="auto"/>
            </w:tcBorders>
            <w:shd w:val="clear" w:color="auto" w:fill="auto"/>
            <w:vAlign w:val="bottom"/>
            <w:hideMark/>
          </w:tcPr>
          <w:p w14:paraId="06F9A0E3"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319DE00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31.03.1988</w:t>
            </w:r>
          </w:p>
        </w:tc>
        <w:tc>
          <w:tcPr>
            <w:tcW w:w="1149" w:type="dxa"/>
            <w:tcBorders>
              <w:top w:val="nil"/>
              <w:left w:val="nil"/>
              <w:bottom w:val="single" w:sz="8" w:space="0" w:color="auto"/>
              <w:right w:val="single" w:sz="8" w:space="0" w:color="auto"/>
            </w:tcBorders>
            <w:shd w:val="clear" w:color="auto" w:fill="auto"/>
            <w:vAlign w:val="bottom"/>
            <w:hideMark/>
          </w:tcPr>
          <w:p w14:paraId="10A887C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10435</w:t>
            </w:r>
          </w:p>
        </w:tc>
      </w:tr>
      <w:tr w:rsidR="001D0CB2" w14:paraId="5D0934F4"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A040F6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Michael</w:t>
            </w:r>
          </w:p>
        </w:tc>
        <w:tc>
          <w:tcPr>
            <w:tcW w:w="1200" w:type="dxa"/>
            <w:tcBorders>
              <w:top w:val="nil"/>
              <w:left w:val="nil"/>
              <w:bottom w:val="single" w:sz="8" w:space="0" w:color="auto"/>
              <w:right w:val="single" w:sz="8" w:space="0" w:color="auto"/>
            </w:tcBorders>
            <w:shd w:val="clear" w:color="auto" w:fill="auto"/>
            <w:vAlign w:val="bottom"/>
            <w:hideMark/>
          </w:tcPr>
          <w:p w14:paraId="38D0846E" w14:textId="77777777" w:rsidR="001D0CB2" w:rsidRDefault="00E27FE2">
            <w:pPr>
              <w:spacing w:after="0" w:line="240" w:lineRule="auto"/>
              <w:jc w:val="left"/>
              <w:rPr>
                <w:rFonts w:ascii="Calibri" w:eastAsia="Times New Roman" w:hAnsi="Calibri" w:cs="Times New Roman"/>
                <w:color w:val="000000"/>
                <w:lang w:eastAsia="de-DE"/>
              </w:rPr>
            </w:pPr>
            <w:r w:rsidRPr="006C6D59">
              <w:rPr>
                <w:rFonts w:ascii="Calibri" w:eastAsia="Times New Roman" w:hAnsi="Calibri" w:cs="Times New Roman"/>
                <w:color w:val="000000"/>
                <w:lang w:eastAsia="de-DE"/>
              </w:rPr>
              <w:t>Matuschek</w:t>
            </w:r>
          </w:p>
        </w:tc>
        <w:tc>
          <w:tcPr>
            <w:tcW w:w="1140" w:type="dxa"/>
            <w:tcBorders>
              <w:top w:val="nil"/>
              <w:left w:val="nil"/>
              <w:bottom w:val="single" w:sz="8" w:space="0" w:color="auto"/>
              <w:right w:val="single" w:sz="8" w:space="0" w:color="auto"/>
            </w:tcBorders>
            <w:shd w:val="clear" w:color="auto" w:fill="auto"/>
            <w:vAlign w:val="bottom"/>
            <w:hideMark/>
          </w:tcPr>
          <w:p w14:paraId="3275383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55F98D89"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13.04.1968</w:t>
            </w:r>
          </w:p>
        </w:tc>
        <w:tc>
          <w:tcPr>
            <w:tcW w:w="1149" w:type="dxa"/>
            <w:tcBorders>
              <w:top w:val="nil"/>
              <w:left w:val="nil"/>
              <w:bottom w:val="single" w:sz="8" w:space="0" w:color="auto"/>
              <w:right w:val="single" w:sz="8" w:space="0" w:color="auto"/>
            </w:tcBorders>
            <w:shd w:val="clear" w:color="auto" w:fill="auto"/>
            <w:vAlign w:val="bottom"/>
            <w:hideMark/>
          </w:tcPr>
          <w:p w14:paraId="61B7A38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10439</w:t>
            </w:r>
          </w:p>
        </w:tc>
      </w:tr>
      <w:tr w:rsidR="001D0CB2" w14:paraId="118C35D6"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45415659"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Anke</w:t>
            </w:r>
          </w:p>
        </w:tc>
        <w:tc>
          <w:tcPr>
            <w:tcW w:w="1200" w:type="dxa"/>
            <w:tcBorders>
              <w:top w:val="nil"/>
              <w:left w:val="nil"/>
              <w:bottom w:val="single" w:sz="8" w:space="0" w:color="auto"/>
              <w:right w:val="single" w:sz="8" w:space="0" w:color="auto"/>
            </w:tcBorders>
            <w:shd w:val="clear" w:color="auto" w:fill="auto"/>
            <w:vAlign w:val="bottom"/>
            <w:hideMark/>
          </w:tcPr>
          <w:p w14:paraId="769A68C6"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Schmidt</w:t>
            </w:r>
          </w:p>
        </w:tc>
        <w:tc>
          <w:tcPr>
            <w:tcW w:w="1140" w:type="dxa"/>
            <w:tcBorders>
              <w:top w:val="nil"/>
              <w:left w:val="nil"/>
              <w:bottom w:val="single" w:sz="8" w:space="0" w:color="auto"/>
              <w:right w:val="single" w:sz="8" w:space="0" w:color="auto"/>
            </w:tcBorders>
            <w:shd w:val="clear" w:color="auto" w:fill="auto"/>
            <w:vAlign w:val="bottom"/>
            <w:hideMark/>
          </w:tcPr>
          <w:p w14:paraId="1CB268F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0371C172"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01.04.1978</w:t>
            </w:r>
          </w:p>
        </w:tc>
        <w:tc>
          <w:tcPr>
            <w:tcW w:w="1149" w:type="dxa"/>
            <w:tcBorders>
              <w:top w:val="nil"/>
              <w:left w:val="nil"/>
              <w:bottom w:val="single" w:sz="8" w:space="0" w:color="auto"/>
              <w:right w:val="single" w:sz="8" w:space="0" w:color="auto"/>
            </w:tcBorders>
            <w:shd w:val="clear" w:color="auto" w:fill="auto"/>
            <w:vAlign w:val="bottom"/>
            <w:hideMark/>
          </w:tcPr>
          <w:p w14:paraId="3E16F39A"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10585</w:t>
            </w:r>
          </w:p>
        </w:tc>
      </w:tr>
      <w:tr w:rsidR="001D0CB2" w14:paraId="7D83D5D1"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4AFA12E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Kunigunde</w:t>
            </w:r>
          </w:p>
        </w:tc>
        <w:tc>
          <w:tcPr>
            <w:tcW w:w="1200" w:type="dxa"/>
            <w:tcBorders>
              <w:top w:val="nil"/>
              <w:left w:val="nil"/>
              <w:bottom w:val="single" w:sz="8" w:space="0" w:color="auto"/>
              <w:right w:val="single" w:sz="8" w:space="0" w:color="auto"/>
            </w:tcBorders>
            <w:shd w:val="clear" w:color="auto" w:fill="auto"/>
            <w:vAlign w:val="bottom"/>
            <w:hideMark/>
          </w:tcPr>
          <w:p w14:paraId="76B32E28"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Gewaltig</w:t>
            </w:r>
          </w:p>
        </w:tc>
        <w:tc>
          <w:tcPr>
            <w:tcW w:w="1140" w:type="dxa"/>
            <w:tcBorders>
              <w:top w:val="nil"/>
              <w:left w:val="nil"/>
              <w:bottom w:val="single" w:sz="8" w:space="0" w:color="auto"/>
              <w:right w:val="single" w:sz="8" w:space="0" w:color="auto"/>
            </w:tcBorders>
            <w:shd w:val="clear" w:color="auto" w:fill="auto"/>
            <w:vAlign w:val="bottom"/>
            <w:hideMark/>
          </w:tcPr>
          <w:p w14:paraId="52FEAE5D"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0F740D1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21.01.1969</w:t>
            </w:r>
          </w:p>
        </w:tc>
        <w:tc>
          <w:tcPr>
            <w:tcW w:w="1149" w:type="dxa"/>
            <w:tcBorders>
              <w:top w:val="nil"/>
              <w:left w:val="nil"/>
              <w:bottom w:val="single" w:sz="8" w:space="0" w:color="auto"/>
              <w:right w:val="single" w:sz="8" w:space="0" w:color="auto"/>
            </w:tcBorders>
            <w:shd w:val="clear" w:color="auto" w:fill="auto"/>
            <w:vAlign w:val="bottom"/>
            <w:hideMark/>
          </w:tcPr>
          <w:p w14:paraId="7227D78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10707</w:t>
            </w:r>
          </w:p>
        </w:tc>
      </w:tr>
      <w:tr w:rsidR="001D0CB2" w14:paraId="34A635EF"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45AE9E4C"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Franz</w:t>
            </w:r>
          </w:p>
        </w:tc>
        <w:tc>
          <w:tcPr>
            <w:tcW w:w="1200" w:type="dxa"/>
            <w:tcBorders>
              <w:top w:val="nil"/>
              <w:left w:val="nil"/>
              <w:bottom w:val="single" w:sz="8" w:space="0" w:color="auto"/>
              <w:right w:val="single" w:sz="8" w:space="0" w:color="auto"/>
            </w:tcBorders>
            <w:shd w:val="clear" w:color="auto" w:fill="auto"/>
            <w:vAlign w:val="bottom"/>
            <w:hideMark/>
          </w:tcPr>
          <w:p w14:paraId="56FBAEB0"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Herrlich</w:t>
            </w:r>
          </w:p>
        </w:tc>
        <w:tc>
          <w:tcPr>
            <w:tcW w:w="1140" w:type="dxa"/>
            <w:tcBorders>
              <w:top w:val="nil"/>
              <w:left w:val="nil"/>
              <w:bottom w:val="single" w:sz="8" w:space="0" w:color="auto"/>
              <w:right w:val="single" w:sz="8" w:space="0" w:color="auto"/>
            </w:tcBorders>
            <w:shd w:val="clear" w:color="auto" w:fill="auto"/>
            <w:vAlign w:val="bottom"/>
            <w:hideMark/>
          </w:tcPr>
          <w:p w14:paraId="1069710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3822D4C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17.11.1967</w:t>
            </w:r>
          </w:p>
        </w:tc>
        <w:tc>
          <w:tcPr>
            <w:tcW w:w="1149" w:type="dxa"/>
            <w:tcBorders>
              <w:top w:val="nil"/>
              <w:left w:val="nil"/>
              <w:bottom w:val="single" w:sz="8" w:space="0" w:color="auto"/>
              <w:right w:val="single" w:sz="8" w:space="0" w:color="auto"/>
            </w:tcBorders>
            <w:shd w:val="clear" w:color="auto" w:fill="auto"/>
            <w:vAlign w:val="bottom"/>
            <w:hideMark/>
          </w:tcPr>
          <w:p w14:paraId="2B494343"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10717</w:t>
            </w:r>
          </w:p>
        </w:tc>
      </w:tr>
      <w:tr w:rsidR="001D0CB2" w14:paraId="1F5DA4EE"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76FEE6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Berthold</w:t>
            </w:r>
          </w:p>
        </w:tc>
        <w:tc>
          <w:tcPr>
            <w:tcW w:w="1200" w:type="dxa"/>
            <w:tcBorders>
              <w:top w:val="nil"/>
              <w:left w:val="nil"/>
              <w:bottom w:val="single" w:sz="8" w:space="0" w:color="auto"/>
              <w:right w:val="single" w:sz="8" w:space="0" w:color="auto"/>
            </w:tcBorders>
            <w:shd w:val="clear" w:color="auto" w:fill="auto"/>
            <w:vAlign w:val="bottom"/>
            <w:hideMark/>
          </w:tcPr>
          <w:p w14:paraId="4C1B05A5"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Koch</w:t>
            </w:r>
          </w:p>
        </w:tc>
        <w:tc>
          <w:tcPr>
            <w:tcW w:w="1140" w:type="dxa"/>
            <w:tcBorders>
              <w:top w:val="nil"/>
              <w:left w:val="nil"/>
              <w:bottom w:val="single" w:sz="8" w:space="0" w:color="auto"/>
              <w:right w:val="single" w:sz="8" w:space="0" w:color="auto"/>
            </w:tcBorders>
            <w:shd w:val="clear" w:color="auto" w:fill="auto"/>
            <w:vAlign w:val="bottom"/>
            <w:hideMark/>
          </w:tcPr>
          <w:p w14:paraId="43B4654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m</w:t>
            </w:r>
          </w:p>
        </w:tc>
        <w:tc>
          <w:tcPr>
            <w:tcW w:w="1422" w:type="dxa"/>
            <w:tcBorders>
              <w:top w:val="nil"/>
              <w:left w:val="nil"/>
              <w:bottom w:val="single" w:sz="8" w:space="0" w:color="auto"/>
              <w:right w:val="single" w:sz="8" w:space="0" w:color="auto"/>
            </w:tcBorders>
            <w:shd w:val="clear" w:color="auto" w:fill="auto"/>
            <w:vAlign w:val="bottom"/>
            <w:hideMark/>
          </w:tcPr>
          <w:p w14:paraId="7A9F3D6B"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28.08.1991</w:t>
            </w:r>
          </w:p>
        </w:tc>
        <w:tc>
          <w:tcPr>
            <w:tcW w:w="1149" w:type="dxa"/>
            <w:tcBorders>
              <w:top w:val="nil"/>
              <w:left w:val="nil"/>
              <w:bottom w:val="single" w:sz="8" w:space="0" w:color="auto"/>
              <w:right w:val="single" w:sz="8" w:space="0" w:color="auto"/>
            </w:tcBorders>
            <w:shd w:val="clear" w:color="auto" w:fill="auto"/>
            <w:vAlign w:val="bottom"/>
            <w:hideMark/>
          </w:tcPr>
          <w:p w14:paraId="4A043B2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10717</w:t>
            </w:r>
          </w:p>
        </w:tc>
      </w:tr>
      <w:tr w:rsidR="001D0CB2" w14:paraId="46A7C188"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668CF18F" w14:textId="77777777" w:rsidR="001D0CB2" w:rsidRDefault="00E27FE2">
            <w:pPr>
              <w:spacing w:after="0" w:line="240" w:lineRule="auto"/>
              <w:jc w:val="left"/>
              <w:rPr>
                <w:rFonts w:ascii="Calibri" w:eastAsia="Times New Roman" w:hAnsi="Calibri" w:cs="Times New Roman"/>
                <w:color w:val="000000"/>
                <w:lang w:eastAsia="de-DE"/>
              </w:rPr>
            </w:pPr>
            <w:proofErr w:type="spellStart"/>
            <w:r w:rsidRPr="006C6D59">
              <w:rPr>
                <w:rFonts w:ascii="Calibri" w:eastAsia="Times New Roman" w:hAnsi="Calibri" w:cs="Times New Roman"/>
                <w:color w:val="000000"/>
                <w:lang w:eastAsia="de-DE"/>
              </w:rPr>
              <w:t>Fieda</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481BF681"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Fischer</w:t>
            </w:r>
          </w:p>
        </w:tc>
        <w:tc>
          <w:tcPr>
            <w:tcW w:w="1140" w:type="dxa"/>
            <w:tcBorders>
              <w:top w:val="nil"/>
              <w:left w:val="nil"/>
              <w:bottom w:val="single" w:sz="8" w:space="0" w:color="auto"/>
              <w:right w:val="single" w:sz="8" w:space="0" w:color="auto"/>
            </w:tcBorders>
            <w:shd w:val="clear" w:color="auto" w:fill="auto"/>
            <w:vAlign w:val="bottom"/>
            <w:hideMark/>
          </w:tcPr>
          <w:p w14:paraId="73CCA0DB"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0C43E447"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15.11.1987</w:t>
            </w:r>
          </w:p>
        </w:tc>
        <w:tc>
          <w:tcPr>
            <w:tcW w:w="1149" w:type="dxa"/>
            <w:tcBorders>
              <w:top w:val="nil"/>
              <w:left w:val="nil"/>
              <w:bottom w:val="single" w:sz="8" w:space="0" w:color="auto"/>
              <w:right w:val="single" w:sz="8" w:space="0" w:color="auto"/>
            </w:tcBorders>
            <w:shd w:val="clear" w:color="auto" w:fill="auto"/>
            <w:vAlign w:val="bottom"/>
            <w:hideMark/>
          </w:tcPr>
          <w:p w14:paraId="23992EDE"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10787</w:t>
            </w:r>
          </w:p>
        </w:tc>
      </w:tr>
      <w:tr w:rsidR="001D0CB2" w14:paraId="4C4B7160"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2CB851CE" w14:textId="77777777" w:rsidR="001D0CB2" w:rsidRDefault="00E27FE2">
            <w:pPr>
              <w:spacing w:after="0" w:line="240" w:lineRule="auto"/>
              <w:jc w:val="left"/>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Gerfriede</w:t>
            </w:r>
            <w:proofErr w:type="spellEnd"/>
          </w:p>
        </w:tc>
        <w:tc>
          <w:tcPr>
            <w:tcW w:w="1200" w:type="dxa"/>
            <w:tcBorders>
              <w:top w:val="nil"/>
              <w:left w:val="nil"/>
              <w:bottom w:val="single" w:sz="8" w:space="0" w:color="auto"/>
              <w:right w:val="single" w:sz="8" w:space="0" w:color="auto"/>
            </w:tcBorders>
            <w:shd w:val="clear" w:color="auto" w:fill="auto"/>
            <w:vAlign w:val="bottom"/>
            <w:hideMark/>
          </w:tcPr>
          <w:p w14:paraId="362705A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Jensen</w:t>
            </w:r>
          </w:p>
        </w:tc>
        <w:tc>
          <w:tcPr>
            <w:tcW w:w="1140" w:type="dxa"/>
            <w:tcBorders>
              <w:top w:val="nil"/>
              <w:left w:val="nil"/>
              <w:bottom w:val="single" w:sz="8" w:space="0" w:color="auto"/>
              <w:right w:val="single" w:sz="8" w:space="0" w:color="auto"/>
            </w:tcBorders>
            <w:shd w:val="clear" w:color="auto" w:fill="auto"/>
            <w:vAlign w:val="bottom"/>
            <w:hideMark/>
          </w:tcPr>
          <w:p w14:paraId="1211C6B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4F023B64"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23.07.1983</w:t>
            </w:r>
          </w:p>
        </w:tc>
        <w:tc>
          <w:tcPr>
            <w:tcW w:w="1149" w:type="dxa"/>
            <w:tcBorders>
              <w:top w:val="nil"/>
              <w:left w:val="nil"/>
              <w:bottom w:val="single" w:sz="8" w:space="0" w:color="auto"/>
              <w:right w:val="single" w:sz="8" w:space="0" w:color="auto"/>
            </w:tcBorders>
            <w:shd w:val="clear" w:color="auto" w:fill="auto"/>
            <w:vAlign w:val="bottom"/>
            <w:hideMark/>
          </w:tcPr>
          <w:p w14:paraId="23AD5966"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10827</w:t>
            </w:r>
          </w:p>
        </w:tc>
      </w:tr>
      <w:tr w:rsidR="001D0CB2" w14:paraId="6287803F" w14:textId="77777777" w:rsidTr="00D8462D">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14:paraId="0549491E"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Käthe</w:t>
            </w:r>
          </w:p>
        </w:tc>
        <w:tc>
          <w:tcPr>
            <w:tcW w:w="1200" w:type="dxa"/>
            <w:tcBorders>
              <w:top w:val="nil"/>
              <w:left w:val="nil"/>
              <w:bottom w:val="single" w:sz="8" w:space="0" w:color="auto"/>
              <w:right w:val="single" w:sz="8" w:space="0" w:color="auto"/>
            </w:tcBorders>
            <w:shd w:val="clear" w:color="auto" w:fill="auto"/>
            <w:vAlign w:val="bottom"/>
            <w:hideMark/>
          </w:tcPr>
          <w:p w14:paraId="6786C42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Albers</w:t>
            </w:r>
          </w:p>
        </w:tc>
        <w:tc>
          <w:tcPr>
            <w:tcW w:w="1140" w:type="dxa"/>
            <w:tcBorders>
              <w:top w:val="nil"/>
              <w:left w:val="nil"/>
              <w:bottom w:val="single" w:sz="8" w:space="0" w:color="auto"/>
              <w:right w:val="single" w:sz="8" w:space="0" w:color="auto"/>
            </w:tcBorders>
            <w:shd w:val="clear" w:color="auto" w:fill="auto"/>
            <w:vAlign w:val="bottom"/>
            <w:hideMark/>
          </w:tcPr>
          <w:p w14:paraId="3821396F" w14:textId="77777777" w:rsidR="001D0CB2" w:rsidRDefault="00E27FE2">
            <w:pPr>
              <w:spacing w:after="0" w:line="240" w:lineRule="auto"/>
              <w:jc w:val="left"/>
              <w:rPr>
                <w:rFonts w:ascii="Calibri" w:eastAsia="Times New Roman" w:hAnsi="Calibri" w:cs="Times New Roman"/>
                <w:color w:val="000000"/>
                <w:lang w:eastAsia="de-DE"/>
              </w:rPr>
            </w:pPr>
            <w:r>
              <w:rPr>
                <w:rFonts w:ascii="Calibri" w:eastAsia="Times New Roman" w:hAnsi="Calibri" w:cs="Times New Roman"/>
                <w:color w:val="000000"/>
                <w:lang w:eastAsia="de-DE"/>
              </w:rPr>
              <w:t>w</w:t>
            </w:r>
          </w:p>
        </w:tc>
        <w:tc>
          <w:tcPr>
            <w:tcW w:w="1422" w:type="dxa"/>
            <w:tcBorders>
              <w:top w:val="nil"/>
              <w:left w:val="nil"/>
              <w:bottom w:val="single" w:sz="8" w:space="0" w:color="auto"/>
              <w:right w:val="single" w:sz="8" w:space="0" w:color="auto"/>
            </w:tcBorders>
            <w:shd w:val="clear" w:color="auto" w:fill="auto"/>
            <w:vAlign w:val="bottom"/>
            <w:hideMark/>
          </w:tcPr>
          <w:p w14:paraId="6DA5228D"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27.05.1975</w:t>
            </w:r>
          </w:p>
        </w:tc>
        <w:tc>
          <w:tcPr>
            <w:tcW w:w="1149" w:type="dxa"/>
            <w:tcBorders>
              <w:top w:val="nil"/>
              <w:left w:val="nil"/>
              <w:bottom w:val="single" w:sz="8" w:space="0" w:color="auto"/>
              <w:right w:val="single" w:sz="8" w:space="0" w:color="auto"/>
            </w:tcBorders>
            <w:shd w:val="clear" w:color="auto" w:fill="auto"/>
            <w:vAlign w:val="bottom"/>
            <w:hideMark/>
          </w:tcPr>
          <w:p w14:paraId="732B6325" w14:textId="77777777" w:rsidR="001D0CB2" w:rsidRDefault="00E27F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10963</w:t>
            </w:r>
          </w:p>
        </w:tc>
      </w:tr>
    </w:tbl>
    <w:p w14:paraId="034FC9D5" w14:textId="77777777" w:rsidR="001D0CB2" w:rsidRDefault="00E27FE2">
      <w:pPr>
        <w:pStyle w:val="Beschriftung"/>
      </w:pPr>
      <w:bookmarkStart w:id="111" w:name="_Ref512619000"/>
      <w:bookmarkStart w:id="112" w:name="_Toc517508006"/>
      <w:r>
        <w:t xml:space="preserve">Tabelle </w:t>
      </w:r>
      <w:fldSimple w:instr=" SEQ Tabelle \* ARABIC ">
        <w:r w:rsidR="00072F0D">
          <w:rPr>
            <w:noProof/>
          </w:rPr>
          <w:t>9</w:t>
        </w:r>
      </w:fldSimple>
      <w:bookmarkEnd w:id="111"/>
      <w:r>
        <w:t>:</w:t>
      </w:r>
      <w:r>
        <w:rPr>
          <w:noProof/>
        </w:rPr>
        <w:t xml:space="preserve"> Zuordnungsmöglichkeiten durch die Originaldaten</w:t>
      </w:r>
      <w:bookmarkEnd w:id="112"/>
    </w:p>
    <w:p w14:paraId="26FE94CC" w14:textId="77777777" w:rsidR="001D0CB2" w:rsidRDefault="00E27FE2">
      <w:r>
        <w:t xml:space="preserve">Existiert hingegen auch nur ein teilweise möglicher Zugriff auf die Originaldaten aus </w:t>
      </w:r>
      <w:r>
        <w:fldChar w:fldCharType="begin"/>
      </w:r>
      <w:r>
        <w:instrText xml:space="preserve"> REF _Ref512619000 \h </w:instrText>
      </w:r>
      <w:r>
        <w:fldChar w:fldCharType="separate"/>
      </w:r>
      <w:r w:rsidR="00072F0D">
        <w:t xml:space="preserve">Tabelle </w:t>
      </w:r>
      <w:r w:rsidR="00072F0D">
        <w:rPr>
          <w:noProof/>
        </w:rPr>
        <w:t>9</w:t>
      </w:r>
      <w:r>
        <w:fldChar w:fldCharType="end"/>
      </w:r>
      <w:r>
        <w:t xml:space="preserve">, so ist eine Re-Identifikation der Daten aus </w:t>
      </w:r>
      <w:r>
        <w:fldChar w:fldCharType="begin"/>
      </w:r>
      <w:r>
        <w:instrText xml:space="preserve"> REF _Ref512619024 \h </w:instrText>
      </w:r>
      <w:r>
        <w:fldChar w:fldCharType="separate"/>
      </w:r>
      <w:r w:rsidR="00072F0D">
        <w:t xml:space="preserve">Tabelle </w:t>
      </w:r>
      <w:r w:rsidR="00072F0D">
        <w:rPr>
          <w:noProof/>
        </w:rPr>
        <w:t>8</w:t>
      </w:r>
      <w:r>
        <w:fldChar w:fldCharType="end"/>
      </w:r>
      <w:r>
        <w:t xml:space="preserve"> möglich: Nur Frau Richter und Herr Schröder wohnen in einem Bereich, dessen PLZ mit „1011“ beginnt und durch die Geschlechtsangabe ist eine eindeutige Zuordnung möglich. Die Daten sind also nicht als anonyme Daten anzusehen, sondern als pseudonyme Daten.</w:t>
      </w:r>
    </w:p>
    <w:p w14:paraId="0F9F143B" w14:textId="77777777" w:rsidR="001D0CB2" w:rsidRDefault="00E27FE2">
      <w:pPr>
        <w:pStyle w:val="berschrift3"/>
      </w:pPr>
      <w:bookmarkStart w:id="113" w:name="_Toc517507979"/>
      <w:r>
        <w:t>Grundbedingung für eine Prüfung</w:t>
      </w:r>
      <w:bookmarkEnd w:id="113"/>
    </w:p>
    <w:p w14:paraId="64D7D5CD" w14:textId="77777777" w:rsidR="001D0CB2" w:rsidRDefault="00E27FE2">
      <w:pPr>
        <w:spacing w:after="0"/>
      </w:pPr>
      <w:r>
        <w:t>Bei einer Prüfung des Ergebnisses einer Pseudonymisierung/Anonymisierung muss sowohl das Vorgehen der Verarbeitung, also die Methodik und der Umsetzung der Methodik beurteilt werden, wie das vorhandene Ergebnis. Dafür ist es erforderlich, dass alles nachvollziehbar dokumentiert wurde. Die/</w:t>
      </w:r>
      <w:r w:rsidRPr="00F215B1">
        <w:t>Der</w:t>
      </w:r>
      <w:r>
        <w:t xml:space="preserve"> Prüfende benötigt:</w:t>
      </w:r>
    </w:p>
    <w:p w14:paraId="4732066B" w14:textId="77777777" w:rsidR="001D0CB2" w:rsidRDefault="00E27FE2">
      <w:pPr>
        <w:pStyle w:val="Listenabsatz"/>
        <w:numPr>
          <w:ilvl w:val="0"/>
          <w:numId w:val="8"/>
        </w:numPr>
      </w:pPr>
      <w:r>
        <w:t>Eine ausführliche Dokumentation der Methodik,</w:t>
      </w:r>
    </w:p>
    <w:p w14:paraId="652D14C1" w14:textId="77777777" w:rsidR="001D0CB2" w:rsidRDefault="00E27FE2">
      <w:pPr>
        <w:pStyle w:val="Listenabsatz"/>
        <w:numPr>
          <w:ilvl w:val="0"/>
          <w:numId w:val="8"/>
        </w:numPr>
      </w:pPr>
      <w:r w:rsidRPr="00F215B1">
        <w:t>eine</w:t>
      </w:r>
      <w:r>
        <w:t xml:space="preserve"> detaillierte Darstellung der Umsetzung der Methodik,</w:t>
      </w:r>
    </w:p>
    <w:p w14:paraId="0D8220CF" w14:textId="77777777" w:rsidR="001D0CB2" w:rsidRDefault="00E27FE2">
      <w:pPr>
        <w:pStyle w:val="Listenabsatz"/>
        <w:numPr>
          <w:ilvl w:val="0"/>
          <w:numId w:val="8"/>
        </w:numPr>
      </w:pPr>
      <w:r w:rsidRPr="00F215B1">
        <w:t>die</w:t>
      </w:r>
      <w:r>
        <w:t xml:space="preserve"> Ergebnistabellen.</w:t>
      </w:r>
    </w:p>
    <w:p w14:paraId="54315FDE" w14:textId="77777777" w:rsidR="001D0CB2" w:rsidRDefault="00E27FE2">
      <w:pPr>
        <w:spacing w:after="0"/>
      </w:pPr>
      <w:r>
        <w:t>Bei den Ergebnissen ist darauf zu achten, dass auch statistische Kennzahlen Informationen zu einzelnen Individuen beinhalten können:</w:t>
      </w:r>
    </w:p>
    <w:p w14:paraId="0537AA1C" w14:textId="77777777" w:rsidR="001D0CB2" w:rsidRDefault="00E27FE2">
      <w:pPr>
        <w:pStyle w:val="Listenabsatz"/>
        <w:numPr>
          <w:ilvl w:val="0"/>
          <w:numId w:val="8"/>
        </w:numPr>
      </w:pPr>
      <w:r>
        <w:t xml:space="preserve">Ein Mittelwert basierend auf wenigen Beobachtungen kann ggf. Rückschlüsse bzgl. gering besetzter Gruppen beinhalten. Um diese Randgruppen identifizieren und diese bzgl. einer </w:t>
      </w:r>
      <w:r w:rsidRPr="00F215B1">
        <w:t>Möglichkeit des Rückschlusses auf einzelne Individuen prüfen zu können</w:t>
      </w:r>
      <w:r>
        <w:t>, muss neben der Fallzahl immer auch Minimum, Maximum und Standardabweichung angegeben werden.</w:t>
      </w:r>
    </w:p>
    <w:p w14:paraId="43859B36" w14:textId="77777777" w:rsidR="001D0CB2" w:rsidRDefault="00E27FE2">
      <w:pPr>
        <w:pStyle w:val="Listenabsatz"/>
        <w:numPr>
          <w:ilvl w:val="0"/>
          <w:numId w:val="8"/>
        </w:numPr>
      </w:pPr>
      <w:r>
        <w:t>Die Angabe von Perzentilen (Prozentränge) bei einer geringen Fallzahl beinhaltet nahezu immer die Möglichkeit von Rückschlüssen auf einzelne.</w:t>
      </w:r>
    </w:p>
    <w:p w14:paraId="77A03271" w14:textId="77777777" w:rsidR="001D0CB2" w:rsidRDefault="00E27FE2">
      <w:pPr>
        <w:pStyle w:val="Listenabsatz"/>
        <w:ind w:left="0"/>
      </w:pPr>
      <w:proofErr w:type="spellStart"/>
      <w:r w:rsidRPr="006C6D59">
        <w:t>Hochfellner</w:t>
      </w:r>
      <w:proofErr w:type="spellEnd"/>
      <w:r>
        <w:t xml:space="preserve"> </w:t>
      </w:r>
      <w:r>
        <w:rPr>
          <w:rStyle w:val="Funotenzeichen"/>
        </w:rPr>
        <w:footnoteReference w:id="18"/>
      </w:r>
      <w:r>
        <w:t xml:space="preserve"> empfiehlt als Mindestgrößen:</w:t>
      </w:r>
    </w:p>
    <w:p w14:paraId="57BC125C" w14:textId="77777777" w:rsidR="001D0CB2" w:rsidRDefault="00E27FE2">
      <w:pPr>
        <w:pStyle w:val="Listenabsatz"/>
        <w:numPr>
          <w:ilvl w:val="0"/>
          <w:numId w:val="8"/>
        </w:numPr>
      </w:pPr>
      <w:r>
        <w:t>Mindestens 20 Beobachtungen für die Ausgabe von Mittelwerten</w:t>
      </w:r>
    </w:p>
    <w:p w14:paraId="65193042" w14:textId="77777777" w:rsidR="001D0CB2" w:rsidRDefault="00E27FE2">
      <w:pPr>
        <w:pStyle w:val="Listenabsatz"/>
        <w:numPr>
          <w:ilvl w:val="0"/>
          <w:numId w:val="8"/>
        </w:numPr>
      </w:pPr>
      <w:r>
        <w:t xml:space="preserve">Mindestens 40 Beobachtungen für die Ausgabe von </w:t>
      </w:r>
      <w:r w:rsidRPr="00F215B1">
        <w:t>50%</w:t>
      </w:r>
      <w:r>
        <w:t>-Perzentilen</w:t>
      </w:r>
    </w:p>
    <w:p w14:paraId="125D2FD7" w14:textId="77777777" w:rsidR="001D0CB2" w:rsidRDefault="00E27FE2">
      <w:pPr>
        <w:pStyle w:val="Listenabsatz"/>
        <w:numPr>
          <w:ilvl w:val="0"/>
          <w:numId w:val="8"/>
        </w:numPr>
      </w:pPr>
      <w:r>
        <w:t xml:space="preserve">Mindestens 80 Beobachtungen für die Ausgabe von </w:t>
      </w:r>
      <w:r w:rsidRPr="00F215B1">
        <w:t>25%</w:t>
      </w:r>
      <w:r>
        <w:t xml:space="preserve">- oder </w:t>
      </w:r>
      <w:r w:rsidRPr="00F215B1">
        <w:t>75%</w:t>
      </w:r>
      <w:r>
        <w:t>-Perzentilen</w:t>
      </w:r>
    </w:p>
    <w:p w14:paraId="1C01191C" w14:textId="77777777" w:rsidR="001D0CB2" w:rsidRDefault="00E27FE2">
      <w:pPr>
        <w:pStyle w:val="Listenabsatz"/>
        <w:numPr>
          <w:ilvl w:val="0"/>
          <w:numId w:val="8"/>
        </w:numPr>
      </w:pPr>
      <w:r>
        <w:t xml:space="preserve">Mindestens 200 Beobachtungen für die Ausgabe von </w:t>
      </w:r>
      <w:r w:rsidRPr="00F215B1">
        <w:t>10%</w:t>
      </w:r>
      <w:r>
        <w:t xml:space="preserve">- oder </w:t>
      </w:r>
      <w:r w:rsidRPr="00F215B1">
        <w:t>90%</w:t>
      </w:r>
      <w:r>
        <w:t>-Perzentilen</w:t>
      </w:r>
    </w:p>
    <w:p w14:paraId="712CFE04" w14:textId="77777777" w:rsidR="001D0CB2" w:rsidRDefault="00E27FE2">
      <w:pPr>
        <w:pStyle w:val="Listenabsatz"/>
        <w:numPr>
          <w:ilvl w:val="0"/>
          <w:numId w:val="8"/>
        </w:numPr>
      </w:pPr>
      <w:r>
        <w:t xml:space="preserve">Mindestens 400 Beobachtungen für die Ausgabe von </w:t>
      </w:r>
      <w:r w:rsidRPr="00F215B1">
        <w:t>5%</w:t>
      </w:r>
      <w:r>
        <w:t xml:space="preserve">- oder </w:t>
      </w:r>
      <w:r w:rsidRPr="00F215B1">
        <w:t>95%</w:t>
      </w:r>
      <w:r>
        <w:t>-Perzentilen</w:t>
      </w:r>
    </w:p>
    <w:p w14:paraId="6619DE28" w14:textId="77777777" w:rsidR="001D0CB2" w:rsidRDefault="00E27FE2">
      <w:pPr>
        <w:pStyle w:val="Listenabsatz"/>
        <w:numPr>
          <w:ilvl w:val="0"/>
          <w:numId w:val="8"/>
        </w:numPr>
      </w:pPr>
      <w:r>
        <w:t xml:space="preserve">Mindestens 2000 Beobachtungen für die Ausgabe von </w:t>
      </w:r>
      <w:r w:rsidRPr="00F215B1">
        <w:t>1%</w:t>
      </w:r>
      <w:r>
        <w:t xml:space="preserve">- oder </w:t>
      </w:r>
      <w:r w:rsidRPr="00F215B1">
        <w:t>99%</w:t>
      </w:r>
      <w:r>
        <w:t>-Perzentilen</w:t>
      </w:r>
    </w:p>
    <w:p w14:paraId="4E159B41" w14:textId="77777777" w:rsidR="004C4805" w:rsidRDefault="004C4805">
      <w:pPr>
        <w:jc w:val="left"/>
      </w:pPr>
      <w:bookmarkStart w:id="114" w:name="_Toc517507980"/>
    </w:p>
    <w:p w14:paraId="0CB9C70B" w14:textId="77777777" w:rsidR="004C4805" w:rsidRDefault="004C4805">
      <w:pPr>
        <w:jc w:val="left"/>
        <w:rPr>
          <w:rFonts w:asciiTheme="majorHAnsi" w:eastAsiaTheme="majorEastAsia" w:hAnsiTheme="majorHAnsi" w:cstheme="majorBidi"/>
          <w:b/>
          <w:bCs/>
          <w:color w:val="4F81BD" w:themeColor="accent1"/>
        </w:rPr>
      </w:pPr>
      <w:r>
        <w:br w:type="page"/>
      </w:r>
    </w:p>
    <w:p w14:paraId="096C845E" w14:textId="29CBDBBE" w:rsidR="001D0CB2" w:rsidRDefault="00E27FE2">
      <w:pPr>
        <w:pStyle w:val="berschrift3"/>
      </w:pPr>
      <w:r>
        <w:lastRenderedPageBreak/>
        <w:t>Risikobeurteilung</w:t>
      </w:r>
      <w:bookmarkEnd w:id="114"/>
    </w:p>
    <w:p w14:paraId="231EC9D7" w14:textId="77777777" w:rsidR="001D0CB2" w:rsidRDefault="00E27FE2">
      <w:r>
        <w:t>Gemäß den Anforderungen von Art. 25 DS-GVO sind sowohl „zum Zeitpunkt der Festlegung der Mittel für die Verarbeitung [also der Planung der Verarbeitung] als auch zum Zeitpunkt der eigentlichen Verarbeitung geeignete technische und organisatorische Maßnahmen“ zu treffen, welche die Rechte der betroffenen Personen schützen. Auch Art. 32 DS-GVO verlangt abhängig vom Risiko für die betroffenen Personen die Ergreifung geeigneter Maßnahmen zum Schutz der betroffenen Person.</w:t>
      </w:r>
    </w:p>
    <w:p w14:paraId="6F31FFB7" w14:textId="77777777" w:rsidR="001D0CB2" w:rsidRDefault="00E27FE2">
      <w:pPr>
        <w:spacing w:after="0"/>
      </w:pPr>
      <w:r>
        <w:t xml:space="preserve">Daher muss zwingend das Risiko, welches durch eine Re-Identifikation für die betroffene Person existieren kann, beurteilt werden. Dazu werden Risiken am besten einerseits in Kategorien eingeteilt, welche eine Zuordnung der Risiken in individuelle und </w:t>
      </w:r>
      <w:r w:rsidRPr="00F215B1">
        <w:t>Individuen übergreifende</w:t>
      </w:r>
      <w:r>
        <w:t xml:space="preserve"> Risiken erlaubt, z. B. sein</w:t>
      </w:r>
      <w:r>
        <w:rPr>
          <w:rStyle w:val="Funotenzeichen"/>
        </w:rPr>
        <w:footnoteReference w:id="19"/>
      </w:r>
      <w:r>
        <w:t>:</w:t>
      </w:r>
    </w:p>
    <w:p w14:paraId="6C2BFBAD" w14:textId="77777777" w:rsidR="001D0CB2" w:rsidRDefault="00E27FE2">
      <w:pPr>
        <w:pStyle w:val="Listenabsatz"/>
        <w:numPr>
          <w:ilvl w:val="0"/>
          <w:numId w:val="23"/>
        </w:numPr>
      </w:pPr>
      <w:r>
        <w:t>Strukturelle Risiken, beispielsweise gesellschaftlich-politische Risiken (wie z. B. die Informationsmacht, die gegenüber einem Individuum gewonnen wird) oder wirtschaftliche Risiken;</w:t>
      </w:r>
    </w:p>
    <w:p w14:paraId="6E6300C6" w14:textId="77777777" w:rsidR="001D0CB2" w:rsidRDefault="00E27FE2">
      <w:pPr>
        <w:pStyle w:val="Listenabsatz"/>
        <w:numPr>
          <w:ilvl w:val="0"/>
          <w:numId w:val="23"/>
        </w:numPr>
      </w:pPr>
      <w:r>
        <w:t>Individuelle Risiken, wie z. B. die Erhöhung individueller Verletzlichkeit für Straftaten, da jemand erfährt, wo betroffene Personen angreifbar sind;</w:t>
      </w:r>
    </w:p>
    <w:p w14:paraId="67219F8B" w14:textId="77777777" w:rsidR="001D0CB2" w:rsidRDefault="00E27FE2">
      <w:pPr>
        <w:pStyle w:val="Listenabsatz"/>
        <w:numPr>
          <w:ilvl w:val="0"/>
          <w:numId w:val="23"/>
        </w:numPr>
      </w:pPr>
      <w:r>
        <w:t>Risiken für Gesellschaft und Individuum, z. B. durch Bildung von Persönlichkeitsprofilen oder Fremdbestimmung oder auch die Enttäuschung von Vertraulichkeitserwartungen.</w:t>
      </w:r>
    </w:p>
    <w:p w14:paraId="0FF27BD4" w14:textId="77777777" w:rsidR="001D0CB2" w:rsidRDefault="00E27FE2">
      <w:r>
        <w:t xml:space="preserve">Weiterhin müssen Risiken hinsichtlich der Bedeutung erfasst werden, </w:t>
      </w:r>
      <w:r w:rsidRPr="00F215B1">
        <w:t>d. h.</w:t>
      </w:r>
      <w:r>
        <w:t xml:space="preserve"> </w:t>
      </w:r>
      <w:r w:rsidRPr="00F215B1">
        <w:t>eine Quantifizierung vorgenommen werden</w:t>
      </w:r>
      <w:r>
        <w:t>. Naturgemäß wird das jeweilige Risiko nur abgeschätzt werden können, sodass das Risiko entsprechend einem zuvor definierten Skalenniveau eingeteilt werden kann, z. B.:</w:t>
      </w:r>
    </w:p>
    <w:tbl>
      <w:tblPr>
        <w:tblStyle w:val="Tabellenraster"/>
        <w:tblW w:w="0" w:type="auto"/>
        <w:tblInd w:w="250" w:type="dxa"/>
        <w:tblLook w:val="04A0" w:firstRow="1" w:lastRow="0" w:firstColumn="1" w:lastColumn="0" w:noHBand="0" w:noVBand="1"/>
      </w:tblPr>
      <w:tblGrid>
        <w:gridCol w:w="3260"/>
        <w:gridCol w:w="3686"/>
        <w:gridCol w:w="1984"/>
      </w:tblGrid>
      <w:tr w:rsidR="001D0CB2" w14:paraId="36923792" w14:textId="77777777">
        <w:tc>
          <w:tcPr>
            <w:tcW w:w="3260" w:type="dxa"/>
          </w:tcPr>
          <w:p w14:paraId="64852FCE" w14:textId="77777777" w:rsidR="001D0CB2" w:rsidRDefault="00E27FE2">
            <w:pPr>
              <w:jc w:val="center"/>
            </w:pPr>
            <w:r>
              <w:t>Bewertung</w:t>
            </w:r>
          </w:p>
        </w:tc>
        <w:tc>
          <w:tcPr>
            <w:tcW w:w="3686" w:type="dxa"/>
          </w:tcPr>
          <w:p w14:paraId="6487F017" w14:textId="77777777" w:rsidR="001D0CB2" w:rsidRDefault="00E27FE2">
            <w:pPr>
              <w:jc w:val="center"/>
            </w:pPr>
            <w:r>
              <w:t>Kriterien</w:t>
            </w:r>
          </w:p>
        </w:tc>
        <w:tc>
          <w:tcPr>
            <w:tcW w:w="1984" w:type="dxa"/>
          </w:tcPr>
          <w:p w14:paraId="4E127EAB" w14:textId="77777777" w:rsidR="001D0CB2" w:rsidRDefault="00E27FE2">
            <w:pPr>
              <w:jc w:val="center"/>
            </w:pPr>
            <w:r>
              <w:t>Geschätzte Kosten</w:t>
            </w:r>
          </w:p>
        </w:tc>
      </w:tr>
      <w:tr w:rsidR="001D0CB2" w14:paraId="28D84735" w14:textId="77777777">
        <w:tc>
          <w:tcPr>
            <w:tcW w:w="3260" w:type="dxa"/>
          </w:tcPr>
          <w:p w14:paraId="226AA087" w14:textId="77777777" w:rsidR="001D0CB2" w:rsidRDefault="00E27FE2">
            <w:pPr>
              <w:jc w:val="left"/>
            </w:pPr>
            <w:r>
              <w:t>Katastrophal</w:t>
            </w:r>
          </w:p>
        </w:tc>
        <w:tc>
          <w:tcPr>
            <w:tcW w:w="3686" w:type="dxa"/>
          </w:tcPr>
          <w:p w14:paraId="6F9D0F44" w14:textId="77777777" w:rsidR="001D0CB2" w:rsidRDefault="00E27FE2">
            <w:pPr>
              <w:jc w:val="left"/>
            </w:pPr>
            <w:r>
              <w:t>Keine Kontrolle möglich</w:t>
            </w:r>
          </w:p>
        </w:tc>
        <w:tc>
          <w:tcPr>
            <w:tcW w:w="1984" w:type="dxa"/>
          </w:tcPr>
          <w:p w14:paraId="775F94B1" w14:textId="77777777" w:rsidR="001D0CB2" w:rsidRDefault="00E27FE2">
            <w:pPr>
              <w:jc w:val="right"/>
            </w:pPr>
            <w:r>
              <w:t>&gt; 1 Mill. €</w:t>
            </w:r>
          </w:p>
        </w:tc>
      </w:tr>
      <w:tr w:rsidR="001D0CB2" w14:paraId="072A54FC" w14:textId="77777777">
        <w:tc>
          <w:tcPr>
            <w:tcW w:w="3260" w:type="dxa"/>
          </w:tcPr>
          <w:p w14:paraId="0C308E4E" w14:textId="77777777" w:rsidR="001D0CB2" w:rsidRDefault="00E27FE2">
            <w:pPr>
              <w:jc w:val="left"/>
            </w:pPr>
            <w:r>
              <w:t>Kritisch</w:t>
            </w:r>
          </w:p>
        </w:tc>
        <w:tc>
          <w:tcPr>
            <w:tcW w:w="3686" w:type="dxa"/>
          </w:tcPr>
          <w:p w14:paraId="3DCFF5D7" w14:textId="77777777" w:rsidR="001D0CB2" w:rsidRDefault="00E27FE2">
            <w:pPr>
              <w:jc w:val="left"/>
            </w:pPr>
            <w:r>
              <w:t xml:space="preserve">Gravierende Mängel / </w:t>
            </w:r>
            <w:r w:rsidRPr="00F215B1">
              <w:t>Schäden</w:t>
            </w:r>
          </w:p>
        </w:tc>
        <w:tc>
          <w:tcPr>
            <w:tcW w:w="1984" w:type="dxa"/>
          </w:tcPr>
          <w:p w14:paraId="6E171916" w14:textId="77777777" w:rsidR="001D0CB2" w:rsidRDefault="00E27FE2">
            <w:pPr>
              <w:jc w:val="right"/>
            </w:pPr>
            <w:r>
              <w:t>≤ 1. Mill. €</w:t>
            </w:r>
          </w:p>
        </w:tc>
      </w:tr>
      <w:tr w:rsidR="001D0CB2" w14:paraId="3DE5651D" w14:textId="77777777">
        <w:tc>
          <w:tcPr>
            <w:tcW w:w="3260" w:type="dxa"/>
          </w:tcPr>
          <w:p w14:paraId="7E0B01EA" w14:textId="77777777" w:rsidR="001D0CB2" w:rsidRDefault="00E27FE2">
            <w:pPr>
              <w:jc w:val="left"/>
            </w:pPr>
            <w:r>
              <w:t>Mittelmäßige Auswirkungen</w:t>
            </w:r>
          </w:p>
        </w:tc>
        <w:tc>
          <w:tcPr>
            <w:tcW w:w="3686" w:type="dxa"/>
          </w:tcPr>
          <w:p w14:paraId="07555AF5" w14:textId="77777777" w:rsidR="001D0CB2" w:rsidRDefault="00E27FE2">
            <w:pPr>
              <w:jc w:val="left"/>
            </w:pPr>
            <w:r>
              <w:t>Beträchtliche Abweichungen vom Soll</w:t>
            </w:r>
          </w:p>
        </w:tc>
        <w:tc>
          <w:tcPr>
            <w:tcW w:w="1984" w:type="dxa"/>
          </w:tcPr>
          <w:p w14:paraId="708F20AC" w14:textId="77777777" w:rsidR="001D0CB2" w:rsidRDefault="00E27FE2">
            <w:pPr>
              <w:jc w:val="right"/>
            </w:pPr>
            <w:r>
              <w:t>50 – 100.000 €</w:t>
            </w:r>
          </w:p>
        </w:tc>
      </w:tr>
      <w:tr w:rsidR="001D0CB2" w14:paraId="1E54EA0B" w14:textId="77777777">
        <w:tc>
          <w:tcPr>
            <w:tcW w:w="3260" w:type="dxa"/>
          </w:tcPr>
          <w:p w14:paraId="2464E27A" w14:textId="77777777" w:rsidR="001D0CB2" w:rsidRDefault="00E27FE2">
            <w:pPr>
              <w:jc w:val="left"/>
            </w:pPr>
            <w:r>
              <w:t>Geringe Auswirkungen</w:t>
            </w:r>
          </w:p>
        </w:tc>
        <w:tc>
          <w:tcPr>
            <w:tcW w:w="3686" w:type="dxa"/>
          </w:tcPr>
          <w:p w14:paraId="4D512D19" w14:textId="77777777" w:rsidR="001D0CB2" w:rsidRDefault="00E27FE2">
            <w:pPr>
              <w:jc w:val="left"/>
            </w:pPr>
            <w:r>
              <w:t>Geringe Folgen</w:t>
            </w:r>
          </w:p>
        </w:tc>
        <w:tc>
          <w:tcPr>
            <w:tcW w:w="1984" w:type="dxa"/>
          </w:tcPr>
          <w:p w14:paraId="3E3BFC90" w14:textId="77777777" w:rsidR="001D0CB2" w:rsidRDefault="00E27FE2">
            <w:pPr>
              <w:jc w:val="right"/>
            </w:pPr>
            <w:r>
              <w:t>&lt; 50.000 €</w:t>
            </w:r>
          </w:p>
        </w:tc>
      </w:tr>
      <w:tr w:rsidR="001D0CB2" w14:paraId="03A55935" w14:textId="77777777">
        <w:tc>
          <w:tcPr>
            <w:tcW w:w="3260" w:type="dxa"/>
          </w:tcPr>
          <w:p w14:paraId="3AA377A5" w14:textId="77777777" w:rsidR="001D0CB2" w:rsidRDefault="00E27FE2">
            <w:pPr>
              <w:jc w:val="left"/>
            </w:pPr>
            <w:r>
              <w:t>Vernachlässigbare Auswirkungen</w:t>
            </w:r>
          </w:p>
        </w:tc>
        <w:tc>
          <w:tcPr>
            <w:tcW w:w="3686" w:type="dxa"/>
          </w:tcPr>
          <w:p w14:paraId="2C31D201" w14:textId="77777777" w:rsidR="001D0CB2" w:rsidRDefault="00E27FE2">
            <w:pPr>
              <w:jc w:val="left"/>
            </w:pPr>
            <w:r>
              <w:t>Unbedeutende Folgen</w:t>
            </w:r>
          </w:p>
        </w:tc>
        <w:tc>
          <w:tcPr>
            <w:tcW w:w="1984" w:type="dxa"/>
          </w:tcPr>
          <w:p w14:paraId="0E523AC5" w14:textId="77777777" w:rsidR="001D0CB2" w:rsidRDefault="00E27FE2">
            <w:pPr>
              <w:jc w:val="right"/>
            </w:pPr>
            <w:r>
              <w:t>Keine</w:t>
            </w:r>
          </w:p>
        </w:tc>
      </w:tr>
    </w:tbl>
    <w:p w14:paraId="795BFE39" w14:textId="77777777" w:rsidR="001D0CB2" w:rsidRDefault="00E27FE2">
      <w:pPr>
        <w:spacing w:before="200"/>
      </w:pPr>
      <w:r>
        <w:t xml:space="preserve">Entsprechend </w:t>
      </w:r>
      <w:r w:rsidRPr="006C6D59">
        <w:t>ErwGr</w:t>
      </w:r>
      <w:r>
        <w:t>. 26 DS-GVO wird eine objektive Bewertung bzgl. des Risikos verlangt. Die deutsche Datenschutzkonferenz veröffentlichte ein Kurzpapier „Risiko für die Rechte und Freiheiten natürlicher Personen“</w:t>
      </w:r>
      <w:r>
        <w:rPr>
          <w:rStyle w:val="Funotenzeichen"/>
        </w:rPr>
        <w:footnoteReference w:id="20"/>
      </w:r>
      <w:r>
        <w:t>, welches auch Hinweise bzgl. der Schweregradbeurteilung aus Sicht der deutschen Aufsichtsbehörden enthält.</w:t>
      </w:r>
    </w:p>
    <w:p w14:paraId="5934C4D8" w14:textId="77777777" w:rsidR="001D0CB2" w:rsidRDefault="00E27FE2">
      <w:pPr>
        <w:pStyle w:val="berschrift2"/>
      </w:pPr>
      <w:bookmarkStart w:id="115" w:name="_Toc517507981"/>
      <w:r>
        <w:t>Aufbau und Struktur einer Verfahrensbeschreibung</w:t>
      </w:r>
      <w:bookmarkEnd w:id="115"/>
    </w:p>
    <w:p w14:paraId="58708149" w14:textId="080E2C1E" w:rsidR="001D0CB2" w:rsidRDefault="00E27FE2">
      <w:r>
        <w:t>Entsprechend Art. 30 DS-GVO müssen Verarbeitungstätigkeiten in einem Verzeichnis geführt werden. Dies gilt selbstverständlich auch für die Verarbeitung im Rahmen einer Pseudonymisierung oder Anonymisierung. Darüber hinaus enthält Art. 32 Abs. 3 DS-GVO eine implizite Aufforderung, dass die ergriffenen technische</w:t>
      </w:r>
      <w:r w:rsidR="00D9492B">
        <w:t>n</w:t>
      </w:r>
      <w:r>
        <w:t xml:space="preserve"> und organisatorische</w:t>
      </w:r>
      <w:r w:rsidR="00D9492B">
        <w:t>n</w:t>
      </w:r>
      <w:r>
        <w:t xml:space="preserve"> Maßnahmen, zu denen sowohl die </w:t>
      </w:r>
      <w:r>
        <w:lastRenderedPageBreak/>
        <w:t>Pseudonymisierung als auch die Anonymisierung gehören, einer Nachweisfähigkeit genügen müssen. Somit ist es erforderlich, dass die Verfahren hinreichend genau beschrieben werden.</w:t>
      </w:r>
    </w:p>
    <w:p w14:paraId="3D04BB4A" w14:textId="77777777" w:rsidR="001D0CB2" w:rsidRDefault="00E27FE2">
      <w:pPr>
        <w:spacing w:after="0"/>
      </w:pPr>
      <w:r>
        <w:t>Eine entsprechende Beschreibung der Durchführung einer Pseudonymisierung bzw. Anonymisierung sollte folgende Informationen enthalten</w:t>
      </w:r>
      <w:r w:rsidRPr="00F215B1">
        <w:rPr>
          <w:rStyle w:val="Funotenzeichen"/>
        </w:rPr>
        <w:footnoteReference w:id="21"/>
      </w:r>
      <w:r w:rsidRPr="00F215B1">
        <w:rPr>
          <w:vertAlign w:val="superscript"/>
        </w:rPr>
        <w:t xml:space="preserve">, </w:t>
      </w:r>
      <w:r w:rsidRPr="00F215B1">
        <w:rPr>
          <w:rStyle w:val="Funotenzeichen"/>
        </w:rPr>
        <w:footnoteReference w:id="22"/>
      </w:r>
      <w:r w:rsidRPr="00F215B1">
        <w:t>:</w:t>
      </w:r>
    </w:p>
    <w:p w14:paraId="7991C9FD" w14:textId="77777777" w:rsidR="001D0CB2" w:rsidRDefault="00E27FE2">
      <w:pPr>
        <w:pStyle w:val="Listenabsatz"/>
        <w:numPr>
          <w:ilvl w:val="0"/>
          <w:numId w:val="8"/>
        </w:numPr>
      </w:pPr>
      <w:r>
        <w:t>Beschreibung der Verarbeitung, für welche die Daten erhoben wurden;</w:t>
      </w:r>
    </w:p>
    <w:p w14:paraId="68FEF362" w14:textId="77777777" w:rsidR="001D0CB2" w:rsidRDefault="00E27FE2">
      <w:pPr>
        <w:pStyle w:val="Listenabsatz"/>
        <w:numPr>
          <w:ilvl w:val="0"/>
          <w:numId w:val="8"/>
        </w:numPr>
      </w:pPr>
      <w:r>
        <w:t>Beschreibung der Verarbeitung, für welche die Anonymisierung oder Pseudonymisierung benötigt wird;</w:t>
      </w:r>
    </w:p>
    <w:p w14:paraId="17CBD5D7" w14:textId="77777777" w:rsidR="001D0CB2" w:rsidRDefault="00E27FE2">
      <w:pPr>
        <w:pStyle w:val="Listenabsatz"/>
        <w:numPr>
          <w:ilvl w:val="0"/>
          <w:numId w:val="8"/>
        </w:numPr>
      </w:pPr>
      <w:r>
        <w:t>ID des für die Verarbeitung der personenbezogenen Daten Verantwortlichen;</w:t>
      </w:r>
    </w:p>
    <w:p w14:paraId="01D7476A" w14:textId="77777777" w:rsidR="001D0CB2" w:rsidRDefault="00E27FE2">
      <w:pPr>
        <w:pStyle w:val="Listenabsatz"/>
        <w:numPr>
          <w:ilvl w:val="0"/>
          <w:numId w:val="8"/>
        </w:numPr>
      </w:pPr>
      <w:r>
        <w:t xml:space="preserve">ID des für die Verarbeitung der anonymisierten oder </w:t>
      </w:r>
      <w:r w:rsidRPr="006C6D59">
        <w:t>pseudonymisierten</w:t>
      </w:r>
      <w:r>
        <w:t xml:space="preserve"> Daten Verantwortlichen;</w:t>
      </w:r>
    </w:p>
    <w:p w14:paraId="3ADB6ABA" w14:textId="77777777" w:rsidR="001D0CB2" w:rsidRDefault="00E27FE2">
      <w:pPr>
        <w:pStyle w:val="Listenabsatz"/>
        <w:numPr>
          <w:ilvl w:val="0"/>
          <w:numId w:val="8"/>
        </w:numPr>
      </w:pPr>
      <w:r>
        <w:t>Beschreibung des Verfahrens, mit welchem eine Anonymisierung oder Pseudonymisierung durchgeführt wird;</w:t>
      </w:r>
    </w:p>
    <w:p w14:paraId="0E9A2469" w14:textId="1A12AF1C" w:rsidR="001D0CB2" w:rsidRDefault="00E27FE2">
      <w:pPr>
        <w:pStyle w:val="Listenabsatz"/>
        <w:numPr>
          <w:ilvl w:val="0"/>
          <w:numId w:val="8"/>
        </w:numPr>
      </w:pPr>
      <w:r>
        <w:t>Beschreibung, welche Daten für die Anonymisierung oder Pseudonymisierung ausgewählt wurden sowie eine Begründung, warum diese Daten rel</w:t>
      </w:r>
      <w:r w:rsidR="00D9492B">
        <w:t>e</w:t>
      </w:r>
      <w:r>
        <w:t>v</w:t>
      </w:r>
      <w:r w:rsidR="00D9492B">
        <w:t>a</w:t>
      </w:r>
      <w:r>
        <w:t>nt bzgl. einer Identifikationsmöglichkeit waren, andere nicht;</w:t>
      </w:r>
    </w:p>
    <w:p w14:paraId="4A739B86" w14:textId="77777777" w:rsidR="001D0CB2" w:rsidRDefault="00E27FE2">
      <w:pPr>
        <w:pStyle w:val="Listenabsatz"/>
        <w:numPr>
          <w:ilvl w:val="0"/>
          <w:numId w:val="8"/>
        </w:numPr>
      </w:pPr>
      <w:r>
        <w:t>ID der Person oder des automatisierten IT-Systems, welches die Anonymisierung oder Pseudonymisierung durchführt;</w:t>
      </w:r>
    </w:p>
    <w:p w14:paraId="5022332E" w14:textId="77777777" w:rsidR="001D0CB2" w:rsidRDefault="00E27FE2">
      <w:pPr>
        <w:pStyle w:val="Listenabsatz"/>
        <w:numPr>
          <w:ilvl w:val="0"/>
          <w:numId w:val="8"/>
        </w:numPr>
      </w:pPr>
      <w:r>
        <w:t>Bei einer Anonymisierung der Nachweis der Anonymität, d. h. der Nachweis der Nicht-Beziehbarkeit der verarbeiteten Daten auf eine identifizierte oder identifizierbare natürliche Person;</w:t>
      </w:r>
    </w:p>
    <w:p w14:paraId="3900668C" w14:textId="77777777" w:rsidR="00271C2A" w:rsidRDefault="00E27FE2">
      <w:pPr>
        <w:pStyle w:val="Listenabsatz"/>
        <w:numPr>
          <w:ilvl w:val="0"/>
          <w:numId w:val="8"/>
        </w:numPr>
      </w:pPr>
      <w:r>
        <w:t xml:space="preserve">Umgang mit ggf. zur Anonymisierung oder Pseudonymisierung genutzten </w:t>
      </w:r>
      <w:r w:rsidRPr="00F215B1">
        <w:t>kryptographischen</w:t>
      </w:r>
      <w:r>
        <w:t xml:space="preserve"> Schlüssel oder einer entsprechenden Verknüpfungstabelle; hierzu gehört insbesondere </w:t>
      </w:r>
      <w:r w:rsidRPr="00F215B1">
        <w:t>auch</w:t>
      </w:r>
    </w:p>
    <w:p w14:paraId="1567F664" w14:textId="407A9058" w:rsidR="001D0CB2" w:rsidRDefault="00E27FE2">
      <w:pPr>
        <w:pStyle w:val="Listenabsatz"/>
        <w:numPr>
          <w:ilvl w:val="1"/>
          <w:numId w:val="8"/>
        </w:numPr>
      </w:pPr>
      <w:r w:rsidRPr="00F215B1">
        <w:t>eine</w:t>
      </w:r>
      <w:r>
        <w:t xml:space="preserve"> Beschreibung dessen, was geschieht, wenn die Organisation ihren Betrieb hinsichtlich der Anonymisierungs- oder </w:t>
      </w:r>
      <w:proofErr w:type="spellStart"/>
      <w:r>
        <w:t>Pseudonymisierungsaktivitäten</w:t>
      </w:r>
      <w:proofErr w:type="spellEnd"/>
      <w:r>
        <w:t xml:space="preserve"> einstellt,</w:t>
      </w:r>
    </w:p>
    <w:p w14:paraId="209C34D1" w14:textId="77777777" w:rsidR="00271C2A" w:rsidRDefault="00E27FE2">
      <w:pPr>
        <w:pStyle w:val="Listenabsatz"/>
        <w:numPr>
          <w:ilvl w:val="1"/>
          <w:numId w:val="8"/>
        </w:numPr>
      </w:pPr>
      <w:r w:rsidRPr="00F215B1">
        <w:t>eine</w:t>
      </w:r>
      <w:r>
        <w:t xml:space="preserve"> Beschreibung, in welchen Bereichen und für welche Anwendungen die </w:t>
      </w:r>
      <w:r w:rsidRPr="00F215B1">
        <w:t>kryptographischen</w:t>
      </w:r>
      <w:r>
        <w:t xml:space="preserve"> Schlüssel oder </w:t>
      </w:r>
      <w:r w:rsidRPr="00F215B1">
        <w:t>die entsprechenden Verknüpfungstabelle</w:t>
      </w:r>
      <w:r>
        <w:t xml:space="preserve"> verwendet </w:t>
      </w:r>
      <w:r w:rsidRPr="00F215B1">
        <w:t>werden</w:t>
      </w:r>
    </w:p>
    <w:p w14:paraId="2B74F25C" w14:textId="5F6AD5E2" w:rsidR="001D0CB2" w:rsidRDefault="00E27FE2">
      <w:pPr>
        <w:pStyle w:val="Listenabsatz"/>
        <w:numPr>
          <w:ilvl w:val="1"/>
          <w:numId w:val="8"/>
        </w:numPr>
      </w:pPr>
      <w:r w:rsidRPr="00F215B1">
        <w:t>eine</w:t>
      </w:r>
      <w:r>
        <w:t xml:space="preserve"> Beschreibung </w:t>
      </w:r>
      <w:r w:rsidRPr="00F215B1">
        <w:t>des Gültigkeitszeitraum</w:t>
      </w:r>
      <w:r>
        <w:t xml:space="preserve"> (aus welchem sich letztlich auch der späteste Zeitpunkt zur Validierung der durchgeführten Pseudonymisierung oder Anonymisierung ergibt),</w:t>
      </w:r>
    </w:p>
    <w:p w14:paraId="4082840C" w14:textId="64B8B14E" w:rsidR="001D0CB2" w:rsidRDefault="00E27FE2">
      <w:pPr>
        <w:pStyle w:val="Listenabsatz"/>
        <w:numPr>
          <w:ilvl w:val="1"/>
          <w:numId w:val="8"/>
        </w:numPr>
      </w:pPr>
      <w:r w:rsidRPr="00F215B1">
        <w:t>eine</w:t>
      </w:r>
      <w:r>
        <w:t xml:space="preserve"> Beschreibung der Möglichkeiten und Verfahren zur Verknüpfung mit Alt</w:t>
      </w:r>
      <w:r w:rsidR="00591FB4">
        <w:t>-D</w:t>
      </w:r>
      <w:r>
        <w:t>aten oder neu hinzugekommenen Daten, sofern die Möglichkeit vorhanden ist;</w:t>
      </w:r>
    </w:p>
    <w:p w14:paraId="6B287105" w14:textId="77777777" w:rsidR="004C4805" w:rsidRDefault="004C4805">
      <w:pPr>
        <w:jc w:val="left"/>
      </w:pPr>
      <w:r>
        <w:br w:type="page"/>
      </w:r>
    </w:p>
    <w:p w14:paraId="6A1084EB" w14:textId="7C6FECC9" w:rsidR="001D0CB2" w:rsidRDefault="00E27FE2">
      <w:pPr>
        <w:pStyle w:val="Listenabsatz"/>
        <w:numPr>
          <w:ilvl w:val="0"/>
          <w:numId w:val="8"/>
        </w:numPr>
      </w:pPr>
      <w:r>
        <w:lastRenderedPageBreak/>
        <w:t>Ausführliche Beschreibung, unter welchen Umständen die Pseudonymisierung durch wen auf welche Art umkehrbar ist und welche Berechtigung hierz</w:t>
      </w:r>
      <w:r w:rsidR="004C4805">
        <w:t>u von wem erforderlich ist;</w:t>
      </w:r>
    </w:p>
    <w:p w14:paraId="13A4CCF9" w14:textId="77777777" w:rsidR="001D0CB2" w:rsidRDefault="00E27FE2">
      <w:pPr>
        <w:pStyle w:val="Listenabsatz"/>
        <w:numPr>
          <w:ilvl w:val="0"/>
          <w:numId w:val="8"/>
        </w:numPr>
      </w:pPr>
      <w:r>
        <w:t xml:space="preserve">Festlegung der Beschränkungen, denen der Empfänger der anonymisierten oder </w:t>
      </w:r>
      <w:r w:rsidRPr="006C6D59">
        <w:t>pseudonymisierten</w:t>
      </w:r>
      <w:r>
        <w:t xml:space="preserve"> Daten unterliegt, z. B. vertragliche Regelungen oder die vereinbarten Verarbeitungsgrundsätze zu informationsbezogenen Aktionen mit diesen Daten, insbesondere bzgl. Weiterleitung und Aufbewahrung wie beispielsweise:</w:t>
      </w:r>
    </w:p>
    <w:p w14:paraId="34581D03" w14:textId="77777777" w:rsidR="001D0CB2" w:rsidRDefault="00E27FE2">
      <w:pPr>
        <w:pStyle w:val="Listenabsatz"/>
        <w:numPr>
          <w:ilvl w:val="1"/>
          <w:numId w:val="8"/>
        </w:numPr>
      </w:pPr>
      <w:r>
        <w:t>Der Empfänger darf die Daten nicht öffentlich zugänglich machen.</w:t>
      </w:r>
    </w:p>
    <w:p w14:paraId="335DCA8A" w14:textId="77777777" w:rsidR="001D0CB2" w:rsidRDefault="00E27FE2">
      <w:pPr>
        <w:pStyle w:val="Listenabsatz"/>
        <w:numPr>
          <w:ilvl w:val="1"/>
          <w:numId w:val="8"/>
        </w:numPr>
      </w:pPr>
      <w:r>
        <w:t xml:space="preserve">Der Empfänger </w:t>
      </w:r>
      <w:r w:rsidRPr="00F215B1">
        <w:t>muss die Daten</w:t>
      </w:r>
      <w:r>
        <w:t xml:space="preserve"> vor unberechtigtem Zugriff schützen.</w:t>
      </w:r>
    </w:p>
    <w:p w14:paraId="302FF0CB" w14:textId="77777777" w:rsidR="001D0CB2" w:rsidRDefault="00E27FE2">
      <w:pPr>
        <w:pStyle w:val="Listenabsatz"/>
        <w:numPr>
          <w:ilvl w:val="1"/>
          <w:numId w:val="8"/>
        </w:numPr>
      </w:pPr>
      <w:r>
        <w:t xml:space="preserve">Der Empfänger darf die Daten nur intern nutzen, um </w:t>
      </w:r>
      <w:proofErr w:type="spellStart"/>
      <w:r>
        <w:t>entpersonalisierte</w:t>
      </w:r>
      <w:proofErr w:type="spellEnd"/>
      <w:r>
        <w:t xml:space="preserve"> Daten zu </w:t>
      </w:r>
      <w:r w:rsidRPr="00F215B1">
        <w:t>erzeugen</w:t>
      </w:r>
      <w:r>
        <w:t xml:space="preserve"> und erst diese dürfen öffentlich zugänglich gemacht oder an Kunden veräußert werden.</w:t>
      </w:r>
    </w:p>
    <w:p w14:paraId="3A355B5C" w14:textId="77777777" w:rsidR="001D0CB2" w:rsidRDefault="00E27FE2">
      <w:pPr>
        <w:pStyle w:val="Listenabsatz"/>
        <w:numPr>
          <w:ilvl w:val="1"/>
          <w:numId w:val="8"/>
        </w:numPr>
      </w:pPr>
      <w:r>
        <w:t>Der Empfänger muss die Daten zerstören, wenn die Verarbeitung hinsichtlich der vereinbarten Zwecke beendet wurde und kein weiterer rechtlicher Aufbewahrungsgrund für die Daten mehr existiert.</w:t>
      </w:r>
    </w:p>
    <w:p w14:paraId="2BFEBA6E"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6642D7EA" w14:textId="77777777" w:rsidR="001D0CB2" w:rsidRDefault="00E27FE2">
      <w:pPr>
        <w:pStyle w:val="berschrift1"/>
      </w:pPr>
      <w:bookmarkStart w:id="116" w:name="_Toc517507982"/>
      <w:r>
        <w:lastRenderedPageBreak/>
        <w:t>Checkliste</w:t>
      </w:r>
      <w:bookmarkEnd w:id="116"/>
    </w:p>
    <w:p w14:paraId="2D621090" w14:textId="77777777" w:rsidR="001D0CB2" w:rsidRDefault="00E27FE2">
      <w:pPr>
        <w:pStyle w:val="berschrift2"/>
      </w:pPr>
      <w:bookmarkStart w:id="117" w:name="_Toc517507983"/>
      <w:r>
        <w:t>Organisatorische Anforderungen</w:t>
      </w:r>
      <w:bookmarkEnd w:id="117"/>
    </w:p>
    <w:tbl>
      <w:tblPr>
        <w:tblStyle w:val="Tabellenraster"/>
        <w:tblW w:w="0" w:type="auto"/>
        <w:tblLook w:val="04A0" w:firstRow="1" w:lastRow="0" w:firstColumn="1" w:lastColumn="0" w:noHBand="0" w:noVBand="1"/>
      </w:tblPr>
      <w:tblGrid>
        <w:gridCol w:w="5920"/>
        <w:gridCol w:w="1588"/>
        <w:gridCol w:w="1588"/>
      </w:tblGrid>
      <w:tr w:rsidR="001D0CB2" w14:paraId="512DB1A0" w14:textId="77777777">
        <w:tc>
          <w:tcPr>
            <w:tcW w:w="5920" w:type="dxa"/>
          </w:tcPr>
          <w:p w14:paraId="26223503" w14:textId="77777777" w:rsidR="001D0CB2" w:rsidRDefault="00E27FE2">
            <w:pPr>
              <w:jc w:val="center"/>
              <w:rPr>
                <w:b/>
              </w:rPr>
            </w:pPr>
            <w:r>
              <w:rPr>
                <w:b/>
              </w:rPr>
              <w:t>Anforderung</w:t>
            </w:r>
          </w:p>
        </w:tc>
        <w:tc>
          <w:tcPr>
            <w:tcW w:w="1588" w:type="dxa"/>
          </w:tcPr>
          <w:p w14:paraId="09587F9F" w14:textId="77777777" w:rsidR="001D0CB2" w:rsidRDefault="00E27FE2">
            <w:pPr>
              <w:jc w:val="center"/>
              <w:rPr>
                <w:b/>
              </w:rPr>
            </w:pPr>
            <w:r>
              <w:rPr>
                <w:b/>
              </w:rPr>
              <w:t>Erfüllt</w:t>
            </w:r>
          </w:p>
        </w:tc>
        <w:tc>
          <w:tcPr>
            <w:tcW w:w="1588" w:type="dxa"/>
          </w:tcPr>
          <w:p w14:paraId="2324ADD6" w14:textId="77777777" w:rsidR="001D0CB2" w:rsidRDefault="00E27FE2">
            <w:pPr>
              <w:jc w:val="center"/>
              <w:rPr>
                <w:b/>
              </w:rPr>
            </w:pPr>
            <w:r>
              <w:rPr>
                <w:b/>
              </w:rPr>
              <w:t xml:space="preserve">Nicht </w:t>
            </w:r>
            <w:r w:rsidRPr="00F215B1">
              <w:rPr>
                <w:b/>
              </w:rPr>
              <w:t>erfüllt</w:t>
            </w:r>
          </w:p>
        </w:tc>
      </w:tr>
      <w:tr w:rsidR="001D0CB2" w14:paraId="18F4E710" w14:textId="77777777">
        <w:tc>
          <w:tcPr>
            <w:tcW w:w="5920" w:type="dxa"/>
          </w:tcPr>
          <w:p w14:paraId="61041A85" w14:textId="77777777" w:rsidR="001D0CB2" w:rsidRDefault="00E27FE2">
            <w:r>
              <w:t xml:space="preserve">Es werden alle Daten </w:t>
            </w:r>
            <w:r w:rsidRPr="006C6D59">
              <w:t>pseudonymisiert</w:t>
            </w:r>
            <w:r>
              <w:t xml:space="preserve">/anonymisiert verarbeitet oder es existiert eine Begründung, warum eine pseudonyme Verarbeitung nicht möglich </w:t>
            </w:r>
            <w:r w:rsidRPr="00F215B1">
              <w:t>ist</w:t>
            </w:r>
          </w:p>
        </w:tc>
        <w:tc>
          <w:tcPr>
            <w:tcW w:w="1588" w:type="dxa"/>
          </w:tcPr>
          <w:p w14:paraId="757A4085" w14:textId="77777777" w:rsidR="001D0CB2" w:rsidRDefault="001D0CB2"/>
        </w:tc>
        <w:tc>
          <w:tcPr>
            <w:tcW w:w="1588" w:type="dxa"/>
          </w:tcPr>
          <w:p w14:paraId="6E0A3735" w14:textId="77777777" w:rsidR="001D0CB2" w:rsidRDefault="001D0CB2"/>
        </w:tc>
      </w:tr>
      <w:tr w:rsidR="001D0CB2" w14:paraId="729C2AED" w14:textId="77777777">
        <w:tc>
          <w:tcPr>
            <w:tcW w:w="5920" w:type="dxa"/>
          </w:tcPr>
          <w:p w14:paraId="06511F91" w14:textId="77777777" w:rsidR="001D0CB2" w:rsidRDefault="00E27FE2">
            <w:r>
              <w:t xml:space="preserve">Es ist gewährleistet, dass eine dezidierte Analyse zur Beurteilung der Kritikalität der Daten und des Aufwandes zur Anonymisierung bzw. Pseudonymisierung durchgeführt wird und die Ergebnisse dokumentiert sind, sodass jederzeit eine Überprüfung der Ergebnisse erfolgen </w:t>
            </w:r>
            <w:r w:rsidRPr="00F215B1">
              <w:t>kann</w:t>
            </w:r>
          </w:p>
        </w:tc>
        <w:tc>
          <w:tcPr>
            <w:tcW w:w="1588" w:type="dxa"/>
          </w:tcPr>
          <w:p w14:paraId="7134AD7A" w14:textId="77777777" w:rsidR="001D0CB2" w:rsidRDefault="001D0CB2"/>
        </w:tc>
        <w:tc>
          <w:tcPr>
            <w:tcW w:w="1588" w:type="dxa"/>
          </w:tcPr>
          <w:p w14:paraId="0CF01D2E" w14:textId="77777777" w:rsidR="001D0CB2" w:rsidRDefault="001D0CB2"/>
        </w:tc>
      </w:tr>
      <w:tr w:rsidR="001D0CB2" w14:paraId="1ED5F4BA" w14:textId="77777777">
        <w:tc>
          <w:tcPr>
            <w:tcW w:w="5920" w:type="dxa"/>
          </w:tcPr>
          <w:p w14:paraId="6C27AF4B" w14:textId="77777777" w:rsidR="001D0CB2" w:rsidRDefault="00E27FE2">
            <w:r>
              <w:t xml:space="preserve">Die Pseudonymisierung/Anonymisierung erfolgt im jeweiligen </w:t>
            </w:r>
            <w:r w:rsidRPr="00F215B1">
              <w:t>Quellsystem</w:t>
            </w:r>
          </w:p>
        </w:tc>
        <w:tc>
          <w:tcPr>
            <w:tcW w:w="1588" w:type="dxa"/>
          </w:tcPr>
          <w:p w14:paraId="497CD159" w14:textId="77777777" w:rsidR="001D0CB2" w:rsidRDefault="001D0CB2"/>
        </w:tc>
        <w:tc>
          <w:tcPr>
            <w:tcW w:w="1588" w:type="dxa"/>
          </w:tcPr>
          <w:p w14:paraId="54781BF9" w14:textId="77777777" w:rsidR="001D0CB2" w:rsidRDefault="001D0CB2"/>
        </w:tc>
      </w:tr>
      <w:tr w:rsidR="001D0CB2" w14:paraId="3F7F183C" w14:textId="77777777">
        <w:tc>
          <w:tcPr>
            <w:tcW w:w="5920" w:type="dxa"/>
          </w:tcPr>
          <w:p w14:paraId="111A522C" w14:textId="77777777" w:rsidR="001D0CB2" w:rsidRDefault="00E27FE2">
            <w:r>
              <w:t xml:space="preserve">Es ist gewährleistet, dass personenbezogenen Daten vor einer Pseudonymisierung/Anonymisierung ausschließlich zu Zwecken der Prüfung auf </w:t>
            </w:r>
            <w:r w:rsidRPr="006C6D59">
              <w:t>Inplausibilitäten</w:t>
            </w:r>
            <w:r>
              <w:t xml:space="preserve"> oder Doppelungen zwischengespeichert </w:t>
            </w:r>
            <w:r w:rsidRPr="00F215B1">
              <w:t>werden</w:t>
            </w:r>
          </w:p>
        </w:tc>
        <w:tc>
          <w:tcPr>
            <w:tcW w:w="1588" w:type="dxa"/>
          </w:tcPr>
          <w:p w14:paraId="39CF2A37" w14:textId="77777777" w:rsidR="001D0CB2" w:rsidRDefault="001D0CB2"/>
        </w:tc>
        <w:tc>
          <w:tcPr>
            <w:tcW w:w="1588" w:type="dxa"/>
          </w:tcPr>
          <w:p w14:paraId="5B935DB7" w14:textId="77777777" w:rsidR="001D0CB2" w:rsidRDefault="001D0CB2"/>
        </w:tc>
      </w:tr>
      <w:tr w:rsidR="001D0CB2" w14:paraId="6E3DEB8D" w14:textId="77777777">
        <w:tc>
          <w:tcPr>
            <w:tcW w:w="5920" w:type="dxa"/>
          </w:tcPr>
          <w:p w14:paraId="09D19F13" w14:textId="77777777" w:rsidR="001D0CB2" w:rsidRDefault="00E27FE2">
            <w:r>
              <w:t xml:space="preserve">Es ist gewährleistet, dass die Prüfung auf </w:t>
            </w:r>
            <w:r w:rsidRPr="006C6D59">
              <w:t>Inplausibilitäten</w:t>
            </w:r>
            <w:r>
              <w:t xml:space="preserve"> und Dopplungen im Vorfeld einer Pseudonymisierung/ Anonymisierung grundsätzlich automatisiert </w:t>
            </w:r>
            <w:r w:rsidRPr="00F215B1">
              <w:t>erfolgt</w:t>
            </w:r>
          </w:p>
        </w:tc>
        <w:tc>
          <w:tcPr>
            <w:tcW w:w="1588" w:type="dxa"/>
          </w:tcPr>
          <w:p w14:paraId="49D0573F" w14:textId="77777777" w:rsidR="001D0CB2" w:rsidRDefault="001D0CB2"/>
        </w:tc>
        <w:tc>
          <w:tcPr>
            <w:tcW w:w="1588" w:type="dxa"/>
          </w:tcPr>
          <w:p w14:paraId="58AFE054" w14:textId="77777777" w:rsidR="001D0CB2" w:rsidRDefault="001D0CB2"/>
        </w:tc>
      </w:tr>
    </w:tbl>
    <w:p w14:paraId="588275C9" w14:textId="77777777" w:rsidR="001D0CB2" w:rsidRDefault="00E27FE2">
      <w:pPr>
        <w:pStyle w:val="berschrift2"/>
      </w:pPr>
      <w:bookmarkStart w:id="118" w:name="_Toc517507984"/>
      <w:r>
        <w:t>Vorgaben für das Verfahren</w:t>
      </w:r>
      <w:bookmarkEnd w:id="118"/>
    </w:p>
    <w:tbl>
      <w:tblPr>
        <w:tblStyle w:val="Tabellenraster"/>
        <w:tblW w:w="0" w:type="auto"/>
        <w:tblLook w:val="04A0" w:firstRow="1" w:lastRow="0" w:firstColumn="1" w:lastColumn="0" w:noHBand="0" w:noVBand="1"/>
      </w:tblPr>
      <w:tblGrid>
        <w:gridCol w:w="5920"/>
        <w:gridCol w:w="1588"/>
        <w:gridCol w:w="1588"/>
      </w:tblGrid>
      <w:tr w:rsidR="001D0CB2" w14:paraId="36BFDC91" w14:textId="77777777">
        <w:tc>
          <w:tcPr>
            <w:tcW w:w="5920" w:type="dxa"/>
          </w:tcPr>
          <w:p w14:paraId="1FED79B6" w14:textId="77777777" w:rsidR="001D0CB2" w:rsidRDefault="00E27FE2">
            <w:pPr>
              <w:jc w:val="center"/>
              <w:rPr>
                <w:b/>
              </w:rPr>
            </w:pPr>
            <w:r>
              <w:rPr>
                <w:b/>
              </w:rPr>
              <w:t>Anforderung</w:t>
            </w:r>
          </w:p>
        </w:tc>
        <w:tc>
          <w:tcPr>
            <w:tcW w:w="1588" w:type="dxa"/>
          </w:tcPr>
          <w:p w14:paraId="7462FED9" w14:textId="77777777" w:rsidR="001D0CB2" w:rsidRDefault="00E27FE2">
            <w:pPr>
              <w:jc w:val="center"/>
              <w:rPr>
                <w:b/>
              </w:rPr>
            </w:pPr>
            <w:r>
              <w:rPr>
                <w:b/>
              </w:rPr>
              <w:t>Erfüllt</w:t>
            </w:r>
          </w:p>
        </w:tc>
        <w:tc>
          <w:tcPr>
            <w:tcW w:w="1588" w:type="dxa"/>
          </w:tcPr>
          <w:p w14:paraId="14D7D2D4" w14:textId="77777777" w:rsidR="001D0CB2" w:rsidRDefault="00E27FE2">
            <w:pPr>
              <w:jc w:val="center"/>
              <w:rPr>
                <w:b/>
              </w:rPr>
            </w:pPr>
            <w:r>
              <w:rPr>
                <w:b/>
              </w:rPr>
              <w:t xml:space="preserve">Nicht </w:t>
            </w:r>
            <w:r w:rsidRPr="00F215B1">
              <w:rPr>
                <w:b/>
              </w:rPr>
              <w:t>erfüllt</w:t>
            </w:r>
          </w:p>
        </w:tc>
      </w:tr>
      <w:tr w:rsidR="001D0CB2" w14:paraId="5B8A6DD8" w14:textId="77777777">
        <w:tc>
          <w:tcPr>
            <w:tcW w:w="5920" w:type="dxa"/>
          </w:tcPr>
          <w:p w14:paraId="797D8070" w14:textId="77777777" w:rsidR="001D0CB2" w:rsidRDefault="00E27FE2">
            <w:r>
              <w:t xml:space="preserve">Es ist sichergestellt, dass das eingesetzte Identifikationsschutzverfahren auch Freitextfelder, Kommentarfelder, Anlagen, etc. im Hinblick auf die Ersetzung von personenbezogenen Daten </w:t>
            </w:r>
            <w:r w:rsidRPr="00F215B1">
              <w:t>berücksichtigt</w:t>
            </w:r>
          </w:p>
        </w:tc>
        <w:tc>
          <w:tcPr>
            <w:tcW w:w="1588" w:type="dxa"/>
          </w:tcPr>
          <w:p w14:paraId="5EB539C1" w14:textId="77777777" w:rsidR="001D0CB2" w:rsidRDefault="001D0CB2"/>
        </w:tc>
        <w:tc>
          <w:tcPr>
            <w:tcW w:w="1588" w:type="dxa"/>
          </w:tcPr>
          <w:p w14:paraId="69757EB2" w14:textId="77777777" w:rsidR="001D0CB2" w:rsidRDefault="001D0CB2"/>
        </w:tc>
      </w:tr>
      <w:tr w:rsidR="001D0CB2" w14:paraId="6F3B0A37" w14:textId="77777777">
        <w:tc>
          <w:tcPr>
            <w:tcW w:w="5920" w:type="dxa"/>
          </w:tcPr>
          <w:p w14:paraId="68A4E8FC" w14:textId="77777777" w:rsidR="001D0CB2" w:rsidRDefault="00E27FE2">
            <w:r>
              <w:rPr>
                <w:rFonts w:ascii="Calibri" w:hAnsi="Calibri"/>
                <w:color w:val="000000"/>
              </w:rPr>
              <w:t xml:space="preserve">Es ist gewährleistet, dass der Aufwand zur </w:t>
            </w:r>
            <w:r w:rsidRPr="00F215B1">
              <w:rPr>
                <w:rFonts w:ascii="Calibri" w:hAnsi="Calibri"/>
                <w:color w:val="000000"/>
              </w:rPr>
              <w:t>De-Pseudonymisierung</w:t>
            </w:r>
            <w:r>
              <w:rPr>
                <w:rFonts w:ascii="Calibri" w:hAnsi="Calibri"/>
                <w:color w:val="000000"/>
              </w:rPr>
              <w:t xml:space="preserve"> bzw. </w:t>
            </w:r>
            <w:r w:rsidRPr="00F215B1">
              <w:rPr>
                <w:rFonts w:ascii="Calibri" w:hAnsi="Calibri"/>
                <w:color w:val="000000"/>
              </w:rPr>
              <w:t>De-Anonymisierung</w:t>
            </w:r>
            <w:r>
              <w:rPr>
                <w:rFonts w:ascii="Calibri" w:hAnsi="Calibri"/>
                <w:color w:val="000000"/>
              </w:rPr>
              <w:t xml:space="preserve"> für jedermann unverhältnismäßig hoch (d. h. faktisch ausgeschlossen) </w:t>
            </w:r>
            <w:r w:rsidRPr="00F215B1">
              <w:rPr>
                <w:rFonts w:ascii="Calibri" w:hAnsi="Calibri"/>
                <w:color w:val="000000"/>
              </w:rPr>
              <w:t>ist</w:t>
            </w:r>
          </w:p>
        </w:tc>
        <w:tc>
          <w:tcPr>
            <w:tcW w:w="1588" w:type="dxa"/>
          </w:tcPr>
          <w:p w14:paraId="198AEC82" w14:textId="77777777" w:rsidR="001D0CB2" w:rsidRDefault="001D0CB2"/>
        </w:tc>
        <w:tc>
          <w:tcPr>
            <w:tcW w:w="1588" w:type="dxa"/>
          </w:tcPr>
          <w:p w14:paraId="019FEC5B" w14:textId="77777777" w:rsidR="001D0CB2" w:rsidRDefault="001D0CB2"/>
        </w:tc>
      </w:tr>
      <w:tr w:rsidR="001D0CB2" w14:paraId="06884AA5" w14:textId="77777777">
        <w:tc>
          <w:tcPr>
            <w:tcW w:w="5920" w:type="dxa"/>
          </w:tcPr>
          <w:p w14:paraId="4703D1CC" w14:textId="77777777" w:rsidR="001D0CB2" w:rsidRDefault="00E27FE2">
            <w:r>
              <w:t xml:space="preserve">Es ist gewährleistet, dass der eingesetzte Verfremdungsprozess so gestaltet ist, dass er das notwendige Identifikations-Schutzverfahren wirksam </w:t>
            </w:r>
            <w:r w:rsidRPr="00F215B1">
              <w:t>umsetzt</w:t>
            </w:r>
          </w:p>
        </w:tc>
        <w:tc>
          <w:tcPr>
            <w:tcW w:w="1588" w:type="dxa"/>
          </w:tcPr>
          <w:p w14:paraId="78946130" w14:textId="77777777" w:rsidR="001D0CB2" w:rsidRDefault="001D0CB2"/>
        </w:tc>
        <w:tc>
          <w:tcPr>
            <w:tcW w:w="1588" w:type="dxa"/>
          </w:tcPr>
          <w:p w14:paraId="6F6165B9" w14:textId="77777777" w:rsidR="001D0CB2" w:rsidRDefault="001D0CB2"/>
        </w:tc>
      </w:tr>
      <w:tr w:rsidR="001D0CB2" w14:paraId="3B0B093F" w14:textId="77777777">
        <w:tc>
          <w:tcPr>
            <w:tcW w:w="5920" w:type="dxa"/>
          </w:tcPr>
          <w:p w14:paraId="35A446BA" w14:textId="77777777" w:rsidR="001D0CB2" w:rsidRDefault="00E27FE2">
            <w:r>
              <w:t xml:space="preserve">Es ist beim eingesetzten Verfremdungsprozess sichergestellt, dass mittels der verfügbaren Datenfelder eine Rückführbarkeit nur auf Gruppen mit mindestens 5 Personen möglich </w:t>
            </w:r>
            <w:r w:rsidRPr="00F215B1">
              <w:t>ist</w:t>
            </w:r>
          </w:p>
        </w:tc>
        <w:tc>
          <w:tcPr>
            <w:tcW w:w="1588" w:type="dxa"/>
          </w:tcPr>
          <w:p w14:paraId="7A3A1C8B" w14:textId="77777777" w:rsidR="001D0CB2" w:rsidRDefault="001D0CB2"/>
        </w:tc>
        <w:tc>
          <w:tcPr>
            <w:tcW w:w="1588" w:type="dxa"/>
          </w:tcPr>
          <w:p w14:paraId="2265EB92" w14:textId="77777777" w:rsidR="001D0CB2" w:rsidRDefault="001D0CB2"/>
        </w:tc>
      </w:tr>
      <w:tr w:rsidR="001D0CB2" w14:paraId="50F3329F" w14:textId="77777777">
        <w:tc>
          <w:tcPr>
            <w:tcW w:w="5920" w:type="dxa"/>
          </w:tcPr>
          <w:p w14:paraId="316E7B1F" w14:textId="77777777" w:rsidR="001D0CB2" w:rsidRDefault="00E27FE2">
            <w:r>
              <w:t xml:space="preserve">Es ist gewährleistet, dass die verwendete Verfremdungsmethode vertrauenswürdig, sicher implementiert und dokumentiert sowie allen beteiligten Parteien bekannt und funktional überprüfbar </w:t>
            </w:r>
            <w:r w:rsidRPr="00F215B1">
              <w:t>ist</w:t>
            </w:r>
          </w:p>
        </w:tc>
        <w:tc>
          <w:tcPr>
            <w:tcW w:w="1588" w:type="dxa"/>
          </w:tcPr>
          <w:p w14:paraId="767627CE" w14:textId="77777777" w:rsidR="001D0CB2" w:rsidRDefault="001D0CB2"/>
        </w:tc>
        <w:tc>
          <w:tcPr>
            <w:tcW w:w="1588" w:type="dxa"/>
          </w:tcPr>
          <w:p w14:paraId="2DE1F7FB" w14:textId="77777777" w:rsidR="001D0CB2" w:rsidRDefault="001D0CB2"/>
        </w:tc>
      </w:tr>
    </w:tbl>
    <w:p w14:paraId="1CE9E0D2" w14:textId="77777777" w:rsidR="001D0CB2" w:rsidRDefault="001D0CB2"/>
    <w:p w14:paraId="5D03AE67" w14:textId="77777777" w:rsidR="00271C2A" w:rsidRDefault="00271C2A">
      <w:pPr>
        <w:jc w:val="left"/>
        <w:rPr>
          <w:rFonts w:asciiTheme="majorHAnsi" w:eastAsiaTheme="majorEastAsia" w:hAnsiTheme="majorHAnsi" w:cstheme="majorBidi"/>
          <w:b/>
          <w:bCs/>
          <w:color w:val="4F81BD" w:themeColor="accent1"/>
          <w:sz w:val="26"/>
          <w:szCs w:val="26"/>
        </w:rPr>
      </w:pPr>
      <w:bookmarkStart w:id="119" w:name="_Toc517507985"/>
      <w:r>
        <w:br w:type="page"/>
      </w:r>
    </w:p>
    <w:p w14:paraId="536290B6" w14:textId="510F8F92" w:rsidR="001D0CB2" w:rsidRDefault="00E27FE2">
      <w:pPr>
        <w:pStyle w:val="berschrift2"/>
      </w:pPr>
      <w:r>
        <w:lastRenderedPageBreak/>
        <w:t>Nichtangabe</w:t>
      </w:r>
      <w:bookmarkEnd w:id="119"/>
    </w:p>
    <w:tbl>
      <w:tblPr>
        <w:tblStyle w:val="Tabellenraster"/>
        <w:tblW w:w="0" w:type="auto"/>
        <w:tblLook w:val="04A0" w:firstRow="1" w:lastRow="0" w:firstColumn="1" w:lastColumn="0" w:noHBand="0" w:noVBand="1"/>
      </w:tblPr>
      <w:tblGrid>
        <w:gridCol w:w="5920"/>
        <w:gridCol w:w="1588"/>
        <w:gridCol w:w="1588"/>
      </w:tblGrid>
      <w:tr w:rsidR="001D0CB2" w14:paraId="49FBCC11" w14:textId="77777777">
        <w:tc>
          <w:tcPr>
            <w:tcW w:w="5920" w:type="dxa"/>
          </w:tcPr>
          <w:p w14:paraId="07566758" w14:textId="77777777" w:rsidR="001D0CB2" w:rsidRDefault="00E27FE2">
            <w:pPr>
              <w:jc w:val="center"/>
              <w:rPr>
                <w:b/>
              </w:rPr>
            </w:pPr>
            <w:r>
              <w:rPr>
                <w:b/>
              </w:rPr>
              <w:t>Anforderung</w:t>
            </w:r>
          </w:p>
        </w:tc>
        <w:tc>
          <w:tcPr>
            <w:tcW w:w="1588" w:type="dxa"/>
          </w:tcPr>
          <w:p w14:paraId="18C74A8D" w14:textId="77777777" w:rsidR="001D0CB2" w:rsidRDefault="00E27FE2">
            <w:pPr>
              <w:jc w:val="center"/>
              <w:rPr>
                <w:b/>
              </w:rPr>
            </w:pPr>
            <w:r>
              <w:rPr>
                <w:b/>
              </w:rPr>
              <w:t>Erfüllt</w:t>
            </w:r>
          </w:p>
        </w:tc>
        <w:tc>
          <w:tcPr>
            <w:tcW w:w="1588" w:type="dxa"/>
          </w:tcPr>
          <w:p w14:paraId="3083C3D0" w14:textId="77777777" w:rsidR="001D0CB2" w:rsidRDefault="00E27FE2">
            <w:pPr>
              <w:jc w:val="center"/>
              <w:rPr>
                <w:b/>
              </w:rPr>
            </w:pPr>
            <w:r>
              <w:rPr>
                <w:b/>
              </w:rPr>
              <w:t xml:space="preserve">Nicht </w:t>
            </w:r>
            <w:r w:rsidRPr="00F215B1">
              <w:rPr>
                <w:b/>
              </w:rPr>
              <w:t>erfüllt</w:t>
            </w:r>
          </w:p>
        </w:tc>
      </w:tr>
      <w:tr w:rsidR="001D0CB2" w14:paraId="20094959" w14:textId="77777777">
        <w:tc>
          <w:tcPr>
            <w:tcW w:w="5920" w:type="dxa"/>
          </w:tcPr>
          <w:p w14:paraId="5BD08948" w14:textId="77777777" w:rsidR="001D0CB2" w:rsidRDefault="00E27FE2">
            <w:r>
              <w:t xml:space="preserve">Daten, die einen Personenbezug ermöglichen, werden </w:t>
            </w:r>
            <w:r w:rsidRPr="00F215B1">
              <w:t>gelöscht</w:t>
            </w:r>
          </w:p>
        </w:tc>
        <w:tc>
          <w:tcPr>
            <w:tcW w:w="1588" w:type="dxa"/>
          </w:tcPr>
          <w:p w14:paraId="6A2F7894" w14:textId="77777777" w:rsidR="001D0CB2" w:rsidRDefault="001D0CB2"/>
        </w:tc>
        <w:tc>
          <w:tcPr>
            <w:tcW w:w="1588" w:type="dxa"/>
          </w:tcPr>
          <w:p w14:paraId="3A31B569" w14:textId="77777777" w:rsidR="001D0CB2" w:rsidRDefault="001D0CB2"/>
        </w:tc>
      </w:tr>
    </w:tbl>
    <w:p w14:paraId="1F4FAAC2" w14:textId="77777777" w:rsidR="001D0CB2" w:rsidRDefault="001D0CB2"/>
    <w:p w14:paraId="6BC3C99E" w14:textId="77777777" w:rsidR="001D0CB2" w:rsidRDefault="00E27FE2">
      <w:pPr>
        <w:pStyle w:val="berschrift2"/>
      </w:pPr>
      <w:bookmarkStart w:id="120" w:name="_Toc517507986"/>
      <w:r>
        <w:t>Maskierung/Ersetzung</w:t>
      </w:r>
      <w:bookmarkEnd w:id="120"/>
    </w:p>
    <w:tbl>
      <w:tblPr>
        <w:tblStyle w:val="Tabellenraster"/>
        <w:tblW w:w="0" w:type="auto"/>
        <w:tblLook w:val="04A0" w:firstRow="1" w:lastRow="0" w:firstColumn="1" w:lastColumn="0" w:noHBand="0" w:noVBand="1"/>
      </w:tblPr>
      <w:tblGrid>
        <w:gridCol w:w="5920"/>
        <w:gridCol w:w="1588"/>
        <w:gridCol w:w="1588"/>
      </w:tblGrid>
      <w:tr w:rsidR="001D0CB2" w14:paraId="47AD8DF7" w14:textId="77777777">
        <w:tc>
          <w:tcPr>
            <w:tcW w:w="5920" w:type="dxa"/>
          </w:tcPr>
          <w:p w14:paraId="511A9946" w14:textId="77777777" w:rsidR="001D0CB2" w:rsidRDefault="00E27FE2">
            <w:pPr>
              <w:jc w:val="center"/>
              <w:rPr>
                <w:b/>
              </w:rPr>
            </w:pPr>
            <w:r>
              <w:rPr>
                <w:b/>
              </w:rPr>
              <w:t>Anforderung</w:t>
            </w:r>
          </w:p>
        </w:tc>
        <w:tc>
          <w:tcPr>
            <w:tcW w:w="1588" w:type="dxa"/>
          </w:tcPr>
          <w:p w14:paraId="0476FB68" w14:textId="77777777" w:rsidR="001D0CB2" w:rsidRDefault="00E27FE2">
            <w:pPr>
              <w:jc w:val="center"/>
              <w:rPr>
                <w:b/>
              </w:rPr>
            </w:pPr>
            <w:r>
              <w:rPr>
                <w:b/>
              </w:rPr>
              <w:t>Erfüllt</w:t>
            </w:r>
          </w:p>
        </w:tc>
        <w:tc>
          <w:tcPr>
            <w:tcW w:w="1588" w:type="dxa"/>
          </w:tcPr>
          <w:p w14:paraId="63978A9D" w14:textId="77777777" w:rsidR="001D0CB2" w:rsidRDefault="00E27FE2">
            <w:pPr>
              <w:jc w:val="center"/>
              <w:rPr>
                <w:b/>
              </w:rPr>
            </w:pPr>
            <w:r>
              <w:rPr>
                <w:b/>
              </w:rPr>
              <w:t xml:space="preserve">Nicht </w:t>
            </w:r>
            <w:r w:rsidRPr="00F215B1">
              <w:rPr>
                <w:b/>
              </w:rPr>
              <w:t>erfüllt</w:t>
            </w:r>
          </w:p>
        </w:tc>
      </w:tr>
      <w:tr w:rsidR="001D0CB2" w14:paraId="15A0CA30" w14:textId="77777777">
        <w:tc>
          <w:tcPr>
            <w:tcW w:w="5920" w:type="dxa"/>
          </w:tcPr>
          <w:p w14:paraId="682C09E8" w14:textId="77777777" w:rsidR="001D0CB2" w:rsidRDefault="00E27FE2">
            <w:r>
              <w:t xml:space="preserve">Daten, die einen Personenbezug ermöglichen, werden durch andere konstante oder sich ändernde Werte </w:t>
            </w:r>
            <w:r w:rsidRPr="00F215B1">
              <w:t>ersetzt</w:t>
            </w:r>
          </w:p>
        </w:tc>
        <w:tc>
          <w:tcPr>
            <w:tcW w:w="1588" w:type="dxa"/>
          </w:tcPr>
          <w:p w14:paraId="7C84E690" w14:textId="77777777" w:rsidR="001D0CB2" w:rsidRDefault="001D0CB2"/>
        </w:tc>
        <w:tc>
          <w:tcPr>
            <w:tcW w:w="1588" w:type="dxa"/>
          </w:tcPr>
          <w:p w14:paraId="118E27FD" w14:textId="77777777" w:rsidR="001D0CB2" w:rsidRDefault="001D0CB2"/>
        </w:tc>
      </w:tr>
    </w:tbl>
    <w:p w14:paraId="54794C88" w14:textId="77777777" w:rsidR="001D0CB2" w:rsidRDefault="001D0CB2"/>
    <w:p w14:paraId="4C79E6FB" w14:textId="77777777" w:rsidR="001D0CB2" w:rsidRDefault="00E27FE2">
      <w:pPr>
        <w:pStyle w:val="berschrift2"/>
      </w:pPr>
      <w:bookmarkStart w:id="121" w:name="_Toc517507987"/>
      <w:r>
        <w:t>Mischung/</w:t>
      </w:r>
      <w:proofErr w:type="spellStart"/>
      <w:r w:rsidRPr="006C6D59">
        <w:t>Shuffeling</w:t>
      </w:r>
      <w:bookmarkEnd w:id="121"/>
      <w:proofErr w:type="spellEnd"/>
    </w:p>
    <w:tbl>
      <w:tblPr>
        <w:tblStyle w:val="Tabellenraster"/>
        <w:tblW w:w="0" w:type="auto"/>
        <w:tblLook w:val="04A0" w:firstRow="1" w:lastRow="0" w:firstColumn="1" w:lastColumn="0" w:noHBand="0" w:noVBand="1"/>
      </w:tblPr>
      <w:tblGrid>
        <w:gridCol w:w="5920"/>
        <w:gridCol w:w="1588"/>
        <w:gridCol w:w="1588"/>
      </w:tblGrid>
      <w:tr w:rsidR="001D0CB2" w14:paraId="74BAED7D" w14:textId="77777777">
        <w:tc>
          <w:tcPr>
            <w:tcW w:w="5920" w:type="dxa"/>
          </w:tcPr>
          <w:p w14:paraId="7B9F0266" w14:textId="77777777" w:rsidR="001D0CB2" w:rsidRDefault="00E27FE2">
            <w:pPr>
              <w:jc w:val="center"/>
              <w:rPr>
                <w:b/>
              </w:rPr>
            </w:pPr>
            <w:r>
              <w:rPr>
                <w:b/>
              </w:rPr>
              <w:t>Anforderung</w:t>
            </w:r>
          </w:p>
        </w:tc>
        <w:tc>
          <w:tcPr>
            <w:tcW w:w="1588" w:type="dxa"/>
          </w:tcPr>
          <w:p w14:paraId="1E2BED61" w14:textId="77777777" w:rsidR="001D0CB2" w:rsidRDefault="00E27FE2">
            <w:pPr>
              <w:jc w:val="center"/>
              <w:rPr>
                <w:b/>
              </w:rPr>
            </w:pPr>
            <w:r>
              <w:rPr>
                <w:b/>
              </w:rPr>
              <w:t>Erfüllt</w:t>
            </w:r>
          </w:p>
        </w:tc>
        <w:tc>
          <w:tcPr>
            <w:tcW w:w="1588" w:type="dxa"/>
          </w:tcPr>
          <w:p w14:paraId="163E727D" w14:textId="77777777" w:rsidR="001D0CB2" w:rsidRDefault="00E27FE2">
            <w:pPr>
              <w:jc w:val="center"/>
              <w:rPr>
                <w:b/>
              </w:rPr>
            </w:pPr>
            <w:r>
              <w:rPr>
                <w:b/>
              </w:rPr>
              <w:t xml:space="preserve">Nicht </w:t>
            </w:r>
            <w:r w:rsidRPr="00F215B1">
              <w:rPr>
                <w:b/>
              </w:rPr>
              <w:t>erfüllt</w:t>
            </w:r>
          </w:p>
        </w:tc>
      </w:tr>
      <w:tr w:rsidR="001D0CB2" w14:paraId="7D107962" w14:textId="77777777">
        <w:tc>
          <w:tcPr>
            <w:tcW w:w="5920" w:type="dxa"/>
          </w:tcPr>
          <w:p w14:paraId="4235CA93" w14:textId="77777777" w:rsidR="001D0CB2" w:rsidRDefault="00E27FE2">
            <w:r>
              <w:t xml:space="preserve">Es ist sichergestellt, dass die Mischung unter Änderung aller Datensätze und Datenfelder </w:t>
            </w:r>
            <w:r w:rsidRPr="00F215B1">
              <w:t>erfolgt</w:t>
            </w:r>
          </w:p>
        </w:tc>
        <w:tc>
          <w:tcPr>
            <w:tcW w:w="1588" w:type="dxa"/>
          </w:tcPr>
          <w:p w14:paraId="24A92E1D" w14:textId="77777777" w:rsidR="001D0CB2" w:rsidRDefault="001D0CB2"/>
        </w:tc>
        <w:tc>
          <w:tcPr>
            <w:tcW w:w="1588" w:type="dxa"/>
          </w:tcPr>
          <w:p w14:paraId="095AD7AB" w14:textId="77777777" w:rsidR="001D0CB2" w:rsidRDefault="001D0CB2"/>
        </w:tc>
      </w:tr>
      <w:tr w:rsidR="001D0CB2" w14:paraId="65E70165" w14:textId="77777777">
        <w:tc>
          <w:tcPr>
            <w:tcW w:w="5920" w:type="dxa"/>
          </w:tcPr>
          <w:p w14:paraId="7C0DA2A1" w14:textId="77777777" w:rsidR="001D0CB2" w:rsidRDefault="00E27FE2">
            <w:r>
              <w:t xml:space="preserve">Daten, die schon für sich eindeutig personenbeziehbar sind und durch eine Mischung nicht veränderbar sind, werden zusätzlich mit einer anderen Verfremdungsmethode </w:t>
            </w:r>
            <w:r w:rsidRPr="00F215B1">
              <w:t>bearbeitet</w:t>
            </w:r>
          </w:p>
        </w:tc>
        <w:tc>
          <w:tcPr>
            <w:tcW w:w="1588" w:type="dxa"/>
          </w:tcPr>
          <w:p w14:paraId="3224E869" w14:textId="77777777" w:rsidR="001D0CB2" w:rsidRDefault="001D0CB2"/>
        </w:tc>
        <w:tc>
          <w:tcPr>
            <w:tcW w:w="1588" w:type="dxa"/>
          </w:tcPr>
          <w:p w14:paraId="4CF4C99A" w14:textId="77777777" w:rsidR="001D0CB2" w:rsidRDefault="001D0CB2"/>
        </w:tc>
      </w:tr>
    </w:tbl>
    <w:p w14:paraId="6A2D6178" w14:textId="77777777" w:rsidR="001D0CB2" w:rsidRDefault="00E27FE2">
      <w:pPr>
        <w:pStyle w:val="berschrift2"/>
      </w:pPr>
      <w:bookmarkStart w:id="122" w:name="_Toc517507988"/>
      <w:r>
        <w:t>Varianzmethode</w:t>
      </w:r>
      <w:bookmarkEnd w:id="122"/>
    </w:p>
    <w:tbl>
      <w:tblPr>
        <w:tblStyle w:val="Tabellenraster"/>
        <w:tblW w:w="0" w:type="auto"/>
        <w:tblLook w:val="04A0" w:firstRow="1" w:lastRow="0" w:firstColumn="1" w:lastColumn="0" w:noHBand="0" w:noVBand="1"/>
      </w:tblPr>
      <w:tblGrid>
        <w:gridCol w:w="5920"/>
        <w:gridCol w:w="1588"/>
        <w:gridCol w:w="1588"/>
      </w:tblGrid>
      <w:tr w:rsidR="001D0CB2" w14:paraId="01F94BD9" w14:textId="77777777">
        <w:tc>
          <w:tcPr>
            <w:tcW w:w="5920" w:type="dxa"/>
          </w:tcPr>
          <w:p w14:paraId="6A013A5E" w14:textId="77777777" w:rsidR="001D0CB2" w:rsidRDefault="00E27FE2">
            <w:pPr>
              <w:jc w:val="center"/>
              <w:rPr>
                <w:b/>
              </w:rPr>
            </w:pPr>
            <w:r>
              <w:rPr>
                <w:b/>
              </w:rPr>
              <w:t>Anforderung</w:t>
            </w:r>
          </w:p>
        </w:tc>
        <w:tc>
          <w:tcPr>
            <w:tcW w:w="1588" w:type="dxa"/>
          </w:tcPr>
          <w:p w14:paraId="4C291911" w14:textId="77777777" w:rsidR="001D0CB2" w:rsidRDefault="00E27FE2">
            <w:pPr>
              <w:jc w:val="center"/>
              <w:rPr>
                <w:b/>
              </w:rPr>
            </w:pPr>
            <w:r>
              <w:rPr>
                <w:b/>
              </w:rPr>
              <w:t>Erfüllt</w:t>
            </w:r>
          </w:p>
        </w:tc>
        <w:tc>
          <w:tcPr>
            <w:tcW w:w="1588" w:type="dxa"/>
          </w:tcPr>
          <w:p w14:paraId="5FB370BF" w14:textId="77777777" w:rsidR="001D0CB2" w:rsidRDefault="00E27FE2">
            <w:pPr>
              <w:jc w:val="center"/>
              <w:rPr>
                <w:b/>
              </w:rPr>
            </w:pPr>
            <w:r>
              <w:rPr>
                <w:b/>
              </w:rPr>
              <w:t xml:space="preserve">Nicht </w:t>
            </w:r>
            <w:r w:rsidRPr="00F215B1">
              <w:rPr>
                <w:b/>
              </w:rPr>
              <w:t>erfüllt</w:t>
            </w:r>
          </w:p>
        </w:tc>
      </w:tr>
      <w:tr w:rsidR="001D0CB2" w14:paraId="2A4C71D3" w14:textId="77777777">
        <w:tc>
          <w:tcPr>
            <w:tcW w:w="5920" w:type="dxa"/>
          </w:tcPr>
          <w:p w14:paraId="53DF6BFE" w14:textId="77777777" w:rsidR="001D0CB2" w:rsidRDefault="00E27FE2">
            <w:r>
              <w:t xml:space="preserve">Die jeweilige Erhöhung oder Verringerung basiert auf </w:t>
            </w:r>
            <w:r w:rsidRPr="00F215B1">
              <w:t>Zufallswerten</w:t>
            </w:r>
          </w:p>
        </w:tc>
        <w:tc>
          <w:tcPr>
            <w:tcW w:w="1588" w:type="dxa"/>
          </w:tcPr>
          <w:p w14:paraId="3D3ED6E7" w14:textId="77777777" w:rsidR="001D0CB2" w:rsidRDefault="001D0CB2"/>
        </w:tc>
        <w:tc>
          <w:tcPr>
            <w:tcW w:w="1588" w:type="dxa"/>
          </w:tcPr>
          <w:p w14:paraId="2EC72E6A" w14:textId="77777777" w:rsidR="001D0CB2" w:rsidRDefault="001D0CB2"/>
        </w:tc>
      </w:tr>
    </w:tbl>
    <w:p w14:paraId="51B772E9" w14:textId="77777777" w:rsidR="001D0CB2" w:rsidRDefault="00E27FE2">
      <w:pPr>
        <w:pStyle w:val="berschrift2"/>
      </w:pPr>
      <w:bookmarkStart w:id="123" w:name="_Toc517507989"/>
      <w:r>
        <w:t>Kryptografische Methoden</w:t>
      </w:r>
      <w:bookmarkEnd w:id="123"/>
    </w:p>
    <w:p w14:paraId="05C02486" w14:textId="77777777" w:rsidR="001D0CB2" w:rsidRDefault="00E27FE2">
      <w:pPr>
        <w:pStyle w:val="berschrift3"/>
      </w:pPr>
      <w:bookmarkStart w:id="124" w:name="_Toc517507990"/>
      <w:r>
        <w:t>Verschlüsselung</w:t>
      </w:r>
      <w:bookmarkEnd w:id="124"/>
    </w:p>
    <w:tbl>
      <w:tblPr>
        <w:tblStyle w:val="Tabellenraster"/>
        <w:tblW w:w="0" w:type="auto"/>
        <w:tblLook w:val="04A0" w:firstRow="1" w:lastRow="0" w:firstColumn="1" w:lastColumn="0" w:noHBand="0" w:noVBand="1"/>
      </w:tblPr>
      <w:tblGrid>
        <w:gridCol w:w="5920"/>
        <w:gridCol w:w="1588"/>
        <w:gridCol w:w="1588"/>
      </w:tblGrid>
      <w:tr w:rsidR="001D0CB2" w14:paraId="60DE41DB" w14:textId="77777777" w:rsidTr="00591FB4">
        <w:trPr>
          <w:tblHeader/>
        </w:trPr>
        <w:tc>
          <w:tcPr>
            <w:tcW w:w="5920" w:type="dxa"/>
          </w:tcPr>
          <w:p w14:paraId="3745CDEB" w14:textId="77777777" w:rsidR="001D0CB2" w:rsidRDefault="00E27FE2">
            <w:pPr>
              <w:jc w:val="center"/>
              <w:rPr>
                <w:b/>
              </w:rPr>
            </w:pPr>
            <w:r>
              <w:rPr>
                <w:b/>
              </w:rPr>
              <w:t>Anforderung</w:t>
            </w:r>
          </w:p>
        </w:tc>
        <w:tc>
          <w:tcPr>
            <w:tcW w:w="1588" w:type="dxa"/>
          </w:tcPr>
          <w:p w14:paraId="0BF994C7" w14:textId="77777777" w:rsidR="001D0CB2" w:rsidRDefault="00E27FE2">
            <w:pPr>
              <w:jc w:val="center"/>
              <w:rPr>
                <w:b/>
              </w:rPr>
            </w:pPr>
            <w:r>
              <w:rPr>
                <w:b/>
              </w:rPr>
              <w:t>Erfüllt</w:t>
            </w:r>
          </w:p>
        </w:tc>
        <w:tc>
          <w:tcPr>
            <w:tcW w:w="1588" w:type="dxa"/>
          </w:tcPr>
          <w:p w14:paraId="00CD590F" w14:textId="77777777" w:rsidR="001D0CB2" w:rsidRDefault="00E27FE2">
            <w:pPr>
              <w:jc w:val="center"/>
              <w:rPr>
                <w:b/>
              </w:rPr>
            </w:pPr>
            <w:r>
              <w:rPr>
                <w:b/>
              </w:rPr>
              <w:t xml:space="preserve">Nicht </w:t>
            </w:r>
            <w:r w:rsidRPr="00F215B1">
              <w:rPr>
                <w:b/>
              </w:rPr>
              <w:t>erfüllt</w:t>
            </w:r>
          </w:p>
        </w:tc>
      </w:tr>
      <w:tr w:rsidR="001D0CB2" w14:paraId="200E8692" w14:textId="77777777">
        <w:tc>
          <w:tcPr>
            <w:tcW w:w="5920" w:type="dxa"/>
          </w:tcPr>
          <w:p w14:paraId="49914B3F" w14:textId="77777777" w:rsidR="001D0CB2" w:rsidRDefault="00E27FE2">
            <w:r>
              <w:t xml:space="preserve">Es ist gewährleistet, dass die Erzeugung des Schlüssels bzw. Schlüsselmaterials ein sicherer Prozess </w:t>
            </w:r>
            <w:r w:rsidRPr="00F215B1">
              <w:t>ist</w:t>
            </w:r>
          </w:p>
        </w:tc>
        <w:tc>
          <w:tcPr>
            <w:tcW w:w="1588" w:type="dxa"/>
          </w:tcPr>
          <w:p w14:paraId="66008946" w14:textId="77777777" w:rsidR="001D0CB2" w:rsidRDefault="001D0CB2"/>
        </w:tc>
        <w:tc>
          <w:tcPr>
            <w:tcW w:w="1588" w:type="dxa"/>
          </w:tcPr>
          <w:p w14:paraId="3D9F3705" w14:textId="77777777" w:rsidR="001D0CB2" w:rsidRDefault="001D0CB2"/>
        </w:tc>
      </w:tr>
      <w:tr w:rsidR="001D0CB2" w14:paraId="74ED1A7B" w14:textId="77777777">
        <w:tc>
          <w:tcPr>
            <w:tcW w:w="5920" w:type="dxa"/>
          </w:tcPr>
          <w:p w14:paraId="684D5B04" w14:textId="77777777" w:rsidR="001D0CB2" w:rsidRDefault="00E27FE2">
            <w:r>
              <w:t xml:space="preserve">Es ist gewährleistet, dass der Erzeugung des Schlüssels bzw. Schlüsselmaterials eine qualitativ hochwertige Zufallszahlenquelle zugrunde </w:t>
            </w:r>
            <w:r w:rsidRPr="00F215B1">
              <w:t>liegt</w:t>
            </w:r>
          </w:p>
        </w:tc>
        <w:tc>
          <w:tcPr>
            <w:tcW w:w="1588" w:type="dxa"/>
          </w:tcPr>
          <w:p w14:paraId="7AA98955" w14:textId="77777777" w:rsidR="001D0CB2" w:rsidRDefault="001D0CB2"/>
        </w:tc>
        <w:tc>
          <w:tcPr>
            <w:tcW w:w="1588" w:type="dxa"/>
          </w:tcPr>
          <w:p w14:paraId="55067CC3" w14:textId="77777777" w:rsidR="001D0CB2" w:rsidRDefault="001D0CB2"/>
        </w:tc>
      </w:tr>
      <w:tr w:rsidR="001D0CB2" w14:paraId="636013DE" w14:textId="77777777">
        <w:tc>
          <w:tcPr>
            <w:tcW w:w="5920" w:type="dxa"/>
          </w:tcPr>
          <w:p w14:paraId="471DD220" w14:textId="77777777" w:rsidR="001D0CB2" w:rsidRDefault="00E27FE2">
            <w:r>
              <w:t xml:space="preserve">Es ist sichergestellt, dass der Schlüssel bzw. das Schlüsselmaterial derart erzeugt wird, dass diese weder vorhersagbar sind noch erraten werden </w:t>
            </w:r>
            <w:r w:rsidRPr="00F215B1">
              <w:t>können</w:t>
            </w:r>
          </w:p>
        </w:tc>
        <w:tc>
          <w:tcPr>
            <w:tcW w:w="1588" w:type="dxa"/>
          </w:tcPr>
          <w:p w14:paraId="5E12EFC3" w14:textId="77777777" w:rsidR="001D0CB2" w:rsidRDefault="001D0CB2"/>
        </w:tc>
        <w:tc>
          <w:tcPr>
            <w:tcW w:w="1588" w:type="dxa"/>
          </w:tcPr>
          <w:p w14:paraId="1784F963" w14:textId="77777777" w:rsidR="001D0CB2" w:rsidRDefault="001D0CB2"/>
        </w:tc>
      </w:tr>
      <w:tr w:rsidR="001D0CB2" w14:paraId="6765FB6E" w14:textId="77777777">
        <w:tc>
          <w:tcPr>
            <w:tcW w:w="5920" w:type="dxa"/>
          </w:tcPr>
          <w:p w14:paraId="77E721BB" w14:textId="77777777" w:rsidR="001D0CB2" w:rsidRDefault="00E27FE2">
            <w:r>
              <w:t xml:space="preserve">Es ist gewährleistet, dass die Vertraulichkeit des Schlüssels bzw. des Schlüsselmaterials während des vollständigen Lebenszyklus der verarbeiteten personenbezogenen Daten gewährleistet </w:t>
            </w:r>
            <w:r w:rsidRPr="00F215B1">
              <w:t>ist</w:t>
            </w:r>
          </w:p>
        </w:tc>
        <w:tc>
          <w:tcPr>
            <w:tcW w:w="1588" w:type="dxa"/>
          </w:tcPr>
          <w:p w14:paraId="79060D53" w14:textId="77777777" w:rsidR="001D0CB2" w:rsidRDefault="001D0CB2"/>
        </w:tc>
        <w:tc>
          <w:tcPr>
            <w:tcW w:w="1588" w:type="dxa"/>
          </w:tcPr>
          <w:p w14:paraId="783A15DF" w14:textId="77777777" w:rsidR="001D0CB2" w:rsidRDefault="001D0CB2"/>
        </w:tc>
      </w:tr>
      <w:tr w:rsidR="001D0CB2" w14:paraId="1A7E4627" w14:textId="77777777">
        <w:tc>
          <w:tcPr>
            <w:tcW w:w="5920" w:type="dxa"/>
          </w:tcPr>
          <w:p w14:paraId="4E6B88B2" w14:textId="77777777" w:rsidR="001D0CB2" w:rsidRDefault="00E27FE2">
            <w:r>
              <w:t xml:space="preserve">Es ist sichergestellt, dass der Zugriff auf den Schlüssel bzw. das Schlüsselmaterial auf ein absolutes Minimum vertrauenswürdiger Anwender beschränkt </w:t>
            </w:r>
            <w:r w:rsidRPr="00F215B1">
              <w:t>ist</w:t>
            </w:r>
          </w:p>
        </w:tc>
        <w:tc>
          <w:tcPr>
            <w:tcW w:w="1588" w:type="dxa"/>
          </w:tcPr>
          <w:p w14:paraId="0E67F76C" w14:textId="77777777" w:rsidR="001D0CB2" w:rsidRDefault="001D0CB2"/>
        </w:tc>
        <w:tc>
          <w:tcPr>
            <w:tcW w:w="1588" w:type="dxa"/>
          </w:tcPr>
          <w:p w14:paraId="458BAD25" w14:textId="77777777" w:rsidR="001D0CB2" w:rsidRDefault="001D0CB2"/>
        </w:tc>
      </w:tr>
      <w:tr w:rsidR="001D0CB2" w14:paraId="7172350A" w14:textId="77777777">
        <w:tc>
          <w:tcPr>
            <w:tcW w:w="5920" w:type="dxa"/>
          </w:tcPr>
          <w:p w14:paraId="7955F43F" w14:textId="77777777" w:rsidR="001D0CB2" w:rsidRDefault="00E27FE2">
            <w:r>
              <w:t xml:space="preserve">Es werden ausschließlich Standard-Verschlüsselungs-Algorithmen entsprechend den Empfehlungen des BSI bzw. der Bundesnetzagentur </w:t>
            </w:r>
            <w:r w:rsidRPr="00F215B1">
              <w:t>verwendet</w:t>
            </w:r>
          </w:p>
        </w:tc>
        <w:tc>
          <w:tcPr>
            <w:tcW w:w="1588" w:type="dxa"/>
          </w:tcPr>
          <w:p w14:paraId="718809EC" w14:textId="77777777" w:rsidR="001D0CB2" w:rsidRDefault="001D0CB2"/>
        </w:tc>
        <w:tc>
          <w:tcPr>
            <w:tcW w:w="1588" w:type="dxa"/>
          </w:tcPr>
          <w:p w14:paraId="0AF19873" w14:textId="77777777" w:rsidR="001D0CB2" w:rsidRDefault="001D0CB2"/>
        </w:tc>
      </w:tr>
      <w:tr w:rsidR="001D0CB2" w14:paraId="6D192171" w14:textId="77777777">
        <w:tc>
          <w:tcPr>
            <w:tcW w:w="5920" w:type="dxa"/>
          </w:tcPr>
          <w:p w14:paraId="4569A27D" w14:textId="77777777" w:rsidR="001D0CB2" w:rsidRDefault="00E27FE2">
            <w:r>
              <w:t xml:space="preserve">Es ist sichergestellt, dass das verwendete Verfahren eine hinreichende Stärke sowie keinerlei bekannte Schwächen </w:t>
            </w:r>
            <w:r w:rsidRPr="00F215B1">
              <w:t>aufweist</w:t>
            </w:r>
          </w:p>
        </w:tc>
        <w:tc>
          <w:tcPr>
            <w:tcW w:w="1588" w:type="dxa"/>
          </w:tcPr>
          <w:p w14:paraId="008B77F2" w14:textId="77777777" w:rsidR="001D0CB2" w:rsidRDefault="001D0CB2"/>
        </w:tc>
        <w:tc>
          <w:tcPr>
            <w:tcW w:w="1588" w:type="dxa"/>
          </w:tcPr>
          <w:p w14:paraId="01852CED" w14:textId="77777777" w:rsidR="001D0CB2" w:rsidRDefault="001D0CB2"/>
        </w:tc>
      </w:tr>
      <w:tr w:rsidR="001D0CB2" w14:paraId="36B990D0" w14:textId="77777777">
        <w:tc>
          <w:tcPr>
            <w:tcW w:w="5920" w:type="dxa"/>
          </w:tcPr>
          <w:p w14:paraId="7824CADE" w14:textId="77777777" w:rsidR="001D0CB2" w:rsidRDefault="00E27FE2">
            <w:r>
              <w:t xml:space="preserve">Es ist sichergestellt, dass der für die Verschlüsselungsalgorithmen verwendete Schlüssel von ausreichender Qualität </w:t>
            </w:r>
            <w:r w:rsidRPr="00F215B1">
              <w:t>ist</w:t>
            </w:r>
          </w:p>
        </w:tc>
        <w:tc>
          <w:tcPr>
            <w:tcW w:w="1588" w:type="dxa"/>
          </w:tcPr>
          <w:p w14:paraId="36879E03" w14:textId="77777777" w:rsidR="001D0CB2" w:rsidRDefault="001D0CB2"/>
        </w:tc>
        <w:tc>
          <w:tcPr>
            <w:tcW w:w="1588" w:type="dxa"/>
          </w:tcPr>
          <w:p w14:paraId="0BC59A35" w14:textId="77777777" w:rsidR="001D0CB2" w:rsidRDefault="001D0CB2"/>
        </w:tc>
      </w:tr>
      <w:tr w:rsidR="001D0CB2" w14:paraId="2ABB2437" w14:textId="77777777">
        <w:tc>
          <w:tcPr>
            <w:tcW w:w="5920" w:type="dxa"/>
          </w:tcPr>
          <w:p w14:paraId="07F53FD3" w14:textId="77777777" w:rsidR="001D0CB2" w:rsidRDefault="00E27FE2">
            <w:r>
              <w:lastRenderedPageBreak/>
              <w:t xml:space="preserve">Es ist gewährleistet, dass der Schlüssel geheim gehalten </w:t>
            </w:r>
            <w:r w:rsidRPr="00F215B1">
              <w:t>wird</w:t>
            </w:r>
          </w:p>
        </w:tc>
        <w:tc>
          <w:tcPr>
            <w:tcW w:w="1588" w:type="dxa"/>
          </w:tcPr>
          <w:p w14:paraId="669E4755" w14:textId="77777777" w:rsidR="001D0CB2" w:rsidRDefault="001D0CB2"/>
        </w:tc>
        <w:tc>
          <w:tcPr>
            <w:tcW w:w="1588" w:type="dxa"/>
          </w:tcPr>
          <w:p w14:paraId="6123853B" w14:textId="77777777" w:rsidR="001D0CB2" w:rsidRDefault="001D0CB2"/>
        </w:tc>
      </w:tr>
      <w:tr w:rsidR="001D0CB2" w14:paraId="77486E00" w14:textId="77777777">
        <w:tc>
          <w:tcPr>
            <w:tcW w:w="5920" w:type="dxa"/>
          </w:tcPr>
          <w:p w14:paraId="68692E84" w14:textId="77777777" w:rsidR="001D0CB2" w:rsidRDefault="00E27FE2">
            <w:r>
              <w:t xml:space="preserve">Es liegt ein Konzept zum Schlüsselmanagement vor und dieses enthält Informationen zum Schlüsseltausch, zur Feststellung von und Vorgehensweisen bei </w:t>
            </w:r>
            <w:proofErr w:type="spellStart"/>
            <w:r w:rsidRPr="00F215B1">
              <w:t>Kompromittierung</w:t>
            </w:r>
            <w:proofErr w:type="spellEnd"/>
          </w:p>
        </w:tc>
        <w:tc>
          <w:tcPr>
            <w:tcW w:w="1588" w:type="dxa"/>
          </w:tcPr>
          <w:p w14:paraId="262A644F" w14:textId="77777777" w:rsidR="001D0CB2" w:rsidRDefault="001D0CB2"/>
        </w:tc>
        <w:tc>
          <w:tcPr>
            <w:tcW w:w="1588" w:type="dxa"/>
          </w:tcPr>
          <w:p w14:paraId="4356E2D2" w14:textId="77777777" w:rsidR="001D0CB2" w:rsidRDefault="001D0CB2"/>
        </w:tc>
      </w:tr>
    </w:tbl>
    <w:p w14:paraId="30B0DC6E" w14:textId="77777777" w:rsidR="001D0CB2" w:rsidRDefault="00E27FE2">
      <w:pPr>
        <w:pStyle w:val="berschrift3"/>
      </w:pPr>
      <w:bookmarkStart w:id="125" w:name="_Toc517507991"/>
      <w:r>
        <w:t>Hash-Funktionen</w:t>
      </w:r>
      <w:bookmarkEnd w:id="125"/>
    </w:p>
    <w:tbl>
      <w:tblPr>
        <w:tblStyle w:val="Tabellenraster"/>
        <w:tblW w:w="0" w:type="auto"/>
        <w:tblLook w:val="04A0" w:firstRow="1" w:lastRow="0" w:firstColumn="1" w:lastColumn="0" w:noHBand="0" w:noVBand="1"/>
      </w:tblPr>
      <w:tblGrid>
        <w:gridCol w:w="5920"/>
        <w:gridCol w:w="1588"/>
        <w:gridCol w:w="1588"/>
      </w:tblGrid>
      <w:tr w:rsidR="001D0CB2" w14:paraId="6F87246B" w14:textId="77777777">
        <w:tc>
          <w:tcPr>
            <w:tcW w:w="5920" w:type="dxa"/>
          </w:tcPr>
          <w:p w14:paraId="0C052721" w14:textId="77777777" w:rsidR="001D0CB2" w:rsidRDefault="00E27FE2">
            <w:pPr>
              <w:jc w:val="center"/>
              <w:rPr>
                <w:b/>
              </w:rPr>
            </w:pPr>
            <w:r>
              <w:rPr>
                <w:b/>
              </w:rPr>
              <w:t>Anforderung</w:t>
            </w:r>
          </w:p>
        </w:tc>
        <w:tc>
          <w:tcPr>
            <w:tcW w:w="1588" w:type="dxa"/>
          </w:tcPr>
          <w:p w14:paraId="3CBAD52F" w14:textId="77777777" w:rsidR="001D0CB2" w:rsidRDefault="00E27FE2">
            <w:pPr>
              <w:jc w:val="center"/>
              <w:rPr>
                <w:b/>
              </w:rPr>
            </w:pPr>
            <w:r>
              <w:rPr>
                <w:b/>
              </w:rPr>
              <w:t>Erfüllt</w:t>
            </w:r>
          </w:p>
        </w:tc>
        <w:tc>
          <w:tcPr>
            <w:tcW w:w="1588" w:type="dxa"/>
          </w:tcPr>
          <w:p w14:paraId="66914EC1" w14:textId="77777777" w:rsidR="001D0CB2" w:rsidRDefault="00E27FE2">
            <w:pPr>
              <w:jc w:val="center"/>
              <w:rPr>
                <w:b/>
              </w:rPr>
            </w:pPr>
            <w:r>
              <w:rPr>
                <w:b/>
              </w:rPr>
              <w:t xml:space="preserve">Nicht </w:t>
            </w:r>
            <w:r w:rsidRPr="00F215B1">
              <w:rPr>
                <w:b/>
              </w:rPr>
              <w:t>erfüllt</w:t>
            </w:r>
          </w:p>
        </w:tc>
      </w:tr>
      <w:tr w:rsidR="001D0CB2" w14:paraId="3DA6C7A3" w14:textId="77777777">
        <w:tc>
          <w:tcPr>
            <w:tcW w:w="5920" w:type="dxa"/>
          </w:tcPr>
          <w:p w14:paraId="2E8D02B3" w14:textId="77777777" w:rsidR="001D0CB2" w:rsidRDefault="00E27FE2">
            <w:r>
              <w:t xml:space="preserve">Es ist sichergestellt, dass ausschließlich Standard-Hash-Funktionen verwendet werden, für die es keine bekannten Schwachstellen </w:t>
            </w:r>
            <w:r w:rsidRPr="00F215B1">
              <w:t>gibt</w:t>
            </w:r>
          </w:p>
        </w:tc>
        <w:tc>
          <w:tcPr>
            <w:tcW w:w="1588" w:type="dxa"/>
          </w:tcPr>
          <w:p w14:paraId="72AD612B" w14:textId="77777777" w:rsidR="001D0CB2" w:rsidRDefault="001D0CB2"/>
        </w:tc>
        <w:tc>
          <w:tcPr>
            <w:tcW w:w="1588" w:type="dxa"/>
          </w:tcPr>
          <w:p w14:paraId="0075AE27" w14:textId="77777777" w:rsidR="001D0CB2" w:rsidRDefault="001D0CB2"/>
        </w:tc>
      </w:tr>
      <w:tr w:rsidR="001D0CB2" w14:paraId="06DA6033" w14:textId="77777777">
        <w:tc>
          <w:tcPr>
            <w:tcW w:w="5920" w:type="dxa"/>
          </w:tcPr>
          <w:p w14:paraId="42459E45" w14:textId="77777777" w:rsidR="001D0CB2" w:rsidRDefault="00E27FE2">
            <w:r>
              <w:t xml:space="preserve">Es ist sichergestellt, dass bei Verwendung von Hash-Funktionen ein </w:t>
            </w:r>
            <w:r w:rsidRPr="006C6D59">
              <w:t>Salt</w:t>
            </w:r>
            <w:r>
              <w:t xml:space="preserve"> benutzt </w:t>
            </w:r>
            <w:r w:rsidRPr="00F215B1">
              <w:t>wird</w:t>
            </w:r>
          </w:p>
        </w:tc>
        <w:tc>
          <w:tcPr>
            <w:tcW w:w="1588" w:type="dxa"/>
          </w:tcPr>
          <w:p w14:paraId="03D58B25" w14:textId="77777777" w:rsidR="001D0CB2" w:rsidRDefault="001D0CB2"/>
        </w:tc>
        <w:tc>
          <w:tcPr>
            <w:tcW w:w="1588" w:type="dxa"/>
          </w:tcPr>
          <w:p w14:paraId="3247C842" w14:textId="77777777" w:rsidR="001D0CB2" w:rsidRDefault="001D0CB2"/>
        </w:tc>
      </w:tr>
      <w:tr w:rsidR="001D0CB2" w14:paraId="611983A7" w14:textId="77777777">
        <w:tc>
          <w:tcPr>
            <w:tcW w:w="5920" w:type="dxa"/>
          </w:tcPr>
          <w:p w14:paraId="02A93E4D" w14:textId="77777777" w:rsidR="001D0CB2" w:rsidRDefault="00E27FE2">
            <w:r>
              <w:t xml:space="preserve">Es ist sichergestellt, dass der </w:t>
            </w:r>
            <w:r w:rsidRPr="006C6D59">
              <w:t>Salt</w:t>
            </w:r>
            <w:r>
              <w:t xml:space="preserve"> derart erzeugt wird, dass dieser weder vorhersagbar ist noch erraten werden </w:t>
            </w:r>
            <w:r w:rsidRPr="00F215B1">
              <w:t>kann</w:t>
            </w:r>
          </w:p>
        </w:tc>
        <w:tc>
          <w:tcPr>
            <w:tcW w:w="1588" w:type="dxa"/>
          </w:tcPr>
          <w:p w14:paraId="31C7C52C" w14:textId="77777777" w:rsidR="001D0CB2" w:rsidRDefault="001D0CB2"/>
        </w:tc>
        <w:tc>
          <w:tcPr>
            <w:tcW w:w="1588" w:type="dxa"/>
          </w:tcPr>
          <w:p w14:paraId="57E4017A" w14:textId="77777777" w:rsidR="001D0CB2" w:rsidRDefault="001D0CB2"/>
        </w:tc>
      </w:tr>
      <w:tr w:rsidR="001D0CB2" w14:paraId="07A11850" w14:textId="77777777">
        <w:tc>
          <w:tcPr>
            <w:tcW w:w="5920" w:type="dxa"/>
          </w:tcPr>
          <w:p w14:paraId="2ADC91CF" w14:textId="77777777" w:rsidR="001D0CB2" w:rsidRDefault="00E27FE2">
            <w:r>
              <w:t xml:space="preserve">Es ist sichergestellt, dass der Zugriff auf den </w:t>
            </w:r>
            <w:r w:rsidRPr="006C6D59">
              <w:t>Salt</w:t>
            </w:r>
            <w:r>
              <w:t xml:space="preserve"> auf ein absolutes Minimum vertrauenswürdiger Anwender beschränkt </w:t>
            </w:r>
            <w:r w:rsidRPr="00F215B1">
              <w:t>ist</w:t>
            </w:r>
          </w:p>
        </w:tc>
        <w:tc>
          <w:tcPr>
            <w:tcW w:w="1588" w:type="dxa"/>
          </w:tcPr>
          <w:p w14:paraId="6AD27A81" w14:textId="77777777" w:rsidR="001D0CB2" w:rsidRDefault="001D0CB2"/>
        </w:tc>
        <w:tc>
          <w:tcPr>
            <w:tcW w:w="1588" w:type="dxa"/>
          </w:tcPr>
          <w:p w14:paraId="27B28B92" w14:textId="77777777" w:rsidR="001D0CB2" w:rsidRDefault="001D0CB2"/>
        </w:tc>
      </w:tr>
      <w:tr w:rsidR="001D0CB2" w14:paraId="64653114" w14:textId="77777777">
        <w:tc>
          <w:tcPr>
            <w:tcW w:w="5920" w:type="dxa"/>
          </w:tcPr>
          <w:p w14:paraId="4A2E7859" w14:textId="77777777" w:rsidR="001D0CB2" w:rsidRDefault="00E27FE2">
            <w:r>
              <w:t xml:space="preserve">Es ist sichergestellt, dass der </w:t>
            </w:r>
            <w:r w:rsidRPr="006C6D59">
              <w:t>Salt</w:t>
            </w:r>
            <w:r>
              <w:t xml:space="preserve"> von ausreichender Qualität ist (= Mindestentropie von 100 Bit</w:t>
            </w:r>
            <w:r w:rsidRPr="00F215B1">
              <w:t>)</w:t>
            </w:r>
          </w:p>
        </w:tc>
        <w:tc>
          <w:tcPr>
            <w:tcW w:w="1588" w:type="dxa"/>
          </w:tcPr>
          <w:p w14:paraId="73CBCC84" w14:textId="77777777" w:rsidR="001D0CB2" w:rsidRDefault="001D0CB2"/>
        </w:tc>
        <w:tc>
          <w:tcPr>
            <w:tcW w:w="1588" w:type="dxa"/>
          </w:tcPr>
          <w:p w14:paraId="6C71CA27" w14:textId="77777777" w:rsidR="001D0CB2" w:rsidRDefault="001D0CB2"/>
        </w:tc>
      </w:tr>
      <w:tr w:rsidR="001D0CB2" w14:paraId="02392DB5" w14:textId="77777777">
        <w:tc>
          <w:tcPr>
            <w:tcW w:w="5920" w:type="dxa"/>
          </w:tcPr>
          <w:p w14:paraId="1918B04C" w14:textId="77777777" w:rsidR="001D0CB2" w:rsidRDefault="00E27FE2">
            <w:r>
              <w:t xml:space="preserve">Es ist gewährleistet, dass der </w:t>
            </w:r>
            <w:r w:rsidRPr="006C6D59">
              <w:t>Salt</w:t>
            </w:r>
            <w:r>
              <w:t xml:space="preserve"> geheim gehalten </w:t>
            </w:r>
            <w:r w:rsidRPr="00F215B1">
              <w:t>wird</w:t>
            </w:r>
          </w:p>
        </w:tc>
        <w:tc>
          <w:tcPr>
            <w:tcW w:w="1588" w:type="dxa"/>
          </w:tcPr>
          <w:p w14:paraId="633019E4" w14:textId="77777777" w:rsidR="001D0CB2" w:rsidRDefault="001D0CB2"/>
        </w:tc>
        <w:tc>
          <w:tcPr>
            <w:tcW w:w="1588" w:type="dxa"/>
          </w:tcPr>
          <w:p w14:paraId="475E2834" w14:textId="77777777" w:rsidR="001D0CB2" w:rsidRDefault="001D0CB2"/>
        </w:tc>
      </w:tr>
    </w:tbl>
    <w:p w14:paraId="669B31EC" w14:textId="77777777" w:rsidR="001D0CB2" w:rsidRDefault="001D0CB2"/>
    <w:p w14:paraId="6AD71B47"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593E5CE4" w14:textId="77777777" w:rsidR="001D0CB2" w:rsidRDefault="00E27FE2">
      <w:pPr>
        <w:pStyle w:val="berschrift1"/>
      </w:pPr>
      <w:bookmarkStart w:id="126" w:name="_Toc517507992"/>
      <w:r>
        <w:lastRenderedPageBreak/>
        <w:t>Abkürzungen</w:t>
      </w:r>
      <w:bookmarkEnd w:id="126"/>
    </w:p>
    <w:p w14:paraId="487E7876" w14:textId="77777777" w:rsidR="001D0CB2" w:rsidRDefault="001D0CB2"/>
    <w:tbl>
      <w:tblPr>
        <w:tblStyle w:val="Tabellenraster"/>
        <w:tblW w:w="0" w:type="auto"/>
        <w:tblLook w:val="04A0" w:firstRow="1" w:lastRow="0" w:firstColumn="1" w:lastColumn="0" w:noHBand="0" w:noVBand="1"/>
      </w:tblPr>
      <w:tblGrid>
        <w:gridCol w:w="1242"/>
        <w:gridCol w:w="7970"/>
      </w:tblGrid>
      <w:tr w:rsidR="00D32346" w14:paraId="5A3AB7D0" w14:textId="77777777">
        <w:tc>
          <w:tcPr>
            <w:tcW w:w="1242" w:type="dxa"/>
          </w:tcPr>
          <w:p w14:paraId="4CA199AD" w14:textId="77777777" w:rsidR="00D32346" w:rsidRDefault="00D32346">
            <w:r>
              <w:t>Abs.</w:t>
            </w:r>
          </w:p>
        </w:tc>
        <w:tc>
          <w:tcPr>
            <w:tcW w:w="7970" w:type="dxa"/>
          </w:tcPr>
          <w:p w14:paraId="6E9160C7" w14:textId="77777777" w:rsidR="00D32346" w:rsidRDefault="00D32346">
            <w:r>
              <w:t>Absatz</w:t>
            </w:r>
          </w:p>
        </w:tc>
      </w:tr>
      <w:tr w:rsidR="00D32346" w14:paraId="719D2E79" w14:textId="77777777">
        <w:tc>
          <w:tcPr>
            <w:tcW w:w="1242" w:type="dxa"/>
          </w:tcPr>
          <w:p w14:paraId="19AA9AA1" w14:textId="77777777" w:rsidR="00D32346" w:rsidRDefault="00D32346">
            <w:r>
              <w:t>Art.</w:t>
            </w:r>
          </w:p>
        </w:tc>
        <w:tc>
          <w:tcPr>
            <w:tcW w:w="7970" w:type="dxa"/>
          </w:tcPr>
          <w:p w14:paraId="40FAD3D3" w14:textId="77777777" w:rsidR="00D32346" w:rsidRDefault="00D32346">
            <w:r>
              <w:t>Artikel (Einzahl)</w:t>
            </w:r>
          </w:p>
        </w:tc>
      </w:tr>
      <w:tr w:rsidR="00D32346" w14:paraId="3F51F19D" w14:textId="77777777">
        <w:tc>
          <w:tcPr>
            <w:tcW w:w="1242" w:type="dxa"/>
          </w:tcPr>
          <w:p w14:paraId="360CDC95" w14:textId="77777777" w:rsidR="00D32346" w:rsidRDefault="00D32346">
            <w:r w:rsidRPr="006C6D59">
              <w:t>Artt</w:t>
            </w:r>
            <w:r>
              <w:t>.</w:t>
            </w:r>
          </w:p>
        </w:tc>
        <w:tc>
          <w:tcPr>
            <w:tcW w:w="7970" w:type="dxa"/>
          </w:tcPr>
          <w:p w14:paraId="267706F0" w14:textId="77777777" w:rsidR="00D32346" w:rsidRDefault="00D32346">
            <w:r>
              <w:t>Artikel (Plural)</w:t>
            </w:r>
          </w:p>
        </w:tc>
      </w:tr>
      <w:tr w:rsidR="00D32346" w14:paraId="5A6D9A71" w14:textId="77777777">
        <w:tc>
          <w:tcPr>
            <w:tcW w:w="1242" w:type="dxa"/>
          </w:tcPr>
          <w:p w14:paraId="45AEF85D" w14:textId="77777777" w:rsidR="00D32346" w:rsidRPr="00F215B1" w:rsidRDefault="00D32346">
            <w:r w:rsidRPr="00F215B1">
              <w:t>BDSG a.F.</w:t>
            </w:r>
          </w:p>
        </w:tc>
        <w:tc>
          <w:tcPr>
            <w:tcW w:w="7970" w:type="dxa"/>
          </w:tcPr>
          <w:p w14:paraId="647AE9F0" w14:textId="77777777" w:rsidR="00D32346" w:rsidRDefault="00D32346">
            <w:r>
              <w:t>Bundesdatenschutzgesetz, in der Fassung gültig bis einschließlich 24. Mai 2018</w:t>
            </w:r>
          </w:p>
        </w:tc>
      </w:tr>
      <w:tr w:rsidR="00D32346" w14:paraId="7D2B4447" w14:textId="77777777">
        <w:tc>
          <w:tcPr>
            <w:tcW w:w="1242" w:type="dxa"/>
          </w:tcPr>
          <w:p w14:paraId="39CABD5D" w14:textId="77777777" w:rsidR="00D32346" w:rsidRPr="00F215B1" w:rsidRDefault="00D32346">
            <w:r w:rsidRPr="00F215B1">
              <w:t>BDSG n.F.</w:t>
            </w:r>
          </w:p>
        </w:tc>
        <w:tc>
          <w:tcPr>
            <w:tcW w:w="7970" w:type="dxa"/>
          </w:tcPr>
          <w:p w14:paraId="31CF6A3C" w14:textId="77777777" w:rsidR="00D32346" w:rsidRDefault="00D32346">
            <w:r>
              <w:t>Bundesdatenschutzgesetz, in der Fassung gültig ab dem 25. Mai 2018</w:t>
            </w:r>
          </w:p>
        </w:tc>
      </w:tr>
      <w:tr w:rsidR="00D32346" w14:paraId="7F73E9F0" w14:textId="77777777">
        <w:tc>
          <w:tcPr>
            <w:tcW w:w="1242" w:type="dxa"/>
          </w:tcPr>
          <w:p w14:paraId="7FE758BE" w14:textId="77777777" w:rsidR="00D32346" w:rsidRPr="00D32346" w:rsidRDefault="00D32346">
            <w:r>
              <w:t>DICOM</w:t>
            </w:r>
          </w:p>
        </w:tc>
        <w:tc>
          <w:tcPr>
            <w:tcW w:w="7970" w:type="dxa"/>
          </w:tcPr>
          <w:p w14:paraId="69446217" w14:textId="77777777" w:rsidR="00D32346" w:rsidRPr="00D32346" w:rsidRDefault="00D32346" w:rsidP="00591FB4">
            <w:pPr>
              <w:rPr>
                <w:rFonts w:eastAsiaTheme="majorEastAsia"/>
              </w:rPr>
            </w:pPr>
            <w:r w:rsidRPr="00D32346">
              <w:rPr>
                <w:rFonts w:eastAsiaTheme="majorEastAsia"/>
              </w:rPr>
              <w:t xml:space="preserve">Digital Imaging </w:t>
            </w:r>
            <w:proofErr w:type="spellStart"/>
            <w:r w:rsidRPr="00D32346">
              <w:rPr>
                <w:rFonts w:eastAsiaTheme="majorEastAsia"/>
              </w:rPr>
              <w:t>and</w:t>
            </w:r>
            <w:proofErr w:type="spellEnd"/>
            <w:r w:rsidRPr="00D32346">
              <w:rPr>
                <w:rFonts w:eastAsiaTheme="majorEastAsia"/>
              </w:rPr>
              <w:t xml:space="preserve"> Communications in </w:t>
            </w:r>
            <w:proofErr w:type="spellStart"/>
            <w:r w:rsidRPr="00D32346">
              <w:rPr>
                <w:rFonts w:eastAsiaTheme="majorEastAsia"/>
              </w:rPr>
              <w:t>Medicine</w:t>
            </w:r>
            <w:proofErr w:type="spellEnd"/>
          </w:p>
        </w:tc>
      </w:tr>
      <w:tr w:rsidR="00D32346" w14:paraId="78BD4102" w14:textId="77777777">
        <w:tc>
          <w:tcPr>
            <w:tcW w:w="1242" w:type="dxa"/>
          </w:tcPr>
          <w:p w14:paraId="51458138" w14:textId="6D4F5C4A" w:rsidR="00D32346" w:rsidRDefault="00D32346">
            <w:r>
              <w:t>DIN</w:t>
            </w:r>
          </w:p>
        </w:tc>
        <w:tc>
          <w:tcPr>
            <w:tcW w:w="7970" w:type="dxa"/>
          </w:tcPr>
          <w:p w14:paraId="727B2166" w14:textId="6501543A" w:rsidR="00D32346" w:rsidRPr="00D32346" w:rsidRDefault="00D32346" w:rsidP="00591FB4">
            <w:pPr>
              <w:rPr>
                <w:rFonts w:eastAsiaTheme="majorEastAsia"/>
              </w:rPr>
            </w:pPr>
            <w:r>
              <w:t>Deutsche Institut für Normung e. V.</w:t>
            </w:r>
          </w:p>
        </w:tc>
      </w:tr>
      <w:tr w:rsidR="00D32346" w14:paraId="176574B8" w14:textId="77777777">
        <w:tc>
          <w:tcPr>
            <w:tcW w:w="1242" w:type="dxa"/>
          </w:tcPr>
          <w:p w14:paraId="1CE2975F" w14:textId="77777777" w:rsidR="00D32346" w:rsidRDefault="00D32346">
            <w:r>
              <w:t>DSFA</w:t>
            </w:r>
          </w:p>
        </w:tc>
        <w:tc>
          <w:tcPr>
            <w:tcW w:w="7970" w:type="dxa"/>
          </w:tcPr>
          <w:p w14:paraId="3BD5E2AA" w14:textId="77777777" w:rsidR="00D32346" w:rsidRDefault="00D32346" w:rsidP="00591FB4">
            <w:pPr>
              <w:rPr>
                <w:rFonts w:eastAsiaTheme="majorEastAsia"/>
              </w:rPr>
            </w:pPr>
            <w:r>
              <w:t>Datenschutz-Folgenabschätzung</w:t>
            </w:r>
          </w:p>
        </w:tc>
      </w:tr>
      <w:tr w:rsidR="00D32346" w14:paraId="4334AADA" w14:textId="77777777">
        <w:tc>
          <w:tcPr>
            <w:tcW w:w="1242" w:type="dxa"/>
          </w:tcPr>
          <w:p w14:paraId="2A3B6BF8" w14:textId="77777777" w:rsidR="00D32346" w:rsidRDefault="00D32346">
            <w:r>
              <w:t>DSG</w:t>
            </w:r>
          </w:p>
        </w:tc>
        <w:tc>
          <w:tcPr>
            <w:tcW w:w="7970" w:type="dxa"/>
          </w:tcPr>
          <w:p w14:paraId="44A9DA9E" w14:textId="77777777" w:rsidR="00D32346" w:rsidRDefault="00D32346" w:rsidP="00591FB4">
            <w:r>
              <w:t>Datenschutzgesetz</w:t>
            </w:r>
          </w:p>
        </w:tc>
      </w:tr>
      <w:tr w:rsidR="00D32346" w14:paraId="66F75ADC" w14:textId="77777777">
        <w:tc>
          <w:tcPr>
            <w:tcW w:w="1242" w:type="dxa"/>
          </w:tcPr>
          <w:p w14:paraId="568B43A9" w14:textId="77777777" w:rsidR="00D32346" w:rsidRDefault="00D32346">
            <w:r>
              <w:t>DS-GVO</w:t>
            </w:r>
          </w:p>
        </w:tc>
        <w:tc>
          <w:tcPr>
            <w:tcW w:w="7970" w:type="dxa"/>
          </w:tcPr>
          <w:p w14:paraId="37AF9BC3" w14:textId="77777777" w:rsidR="00D32346" w:rsidRDefault="00D32346">
            <w:r>
              <w:t>Datenschutz-Grundverordnung</w:t>
            </w:r>
          </w:p>
        </w:tc>
      </w:tr>
      <w:tr w:rsidR="00D32346" w14:paraId="042C9ABC" w14:textId="77777777">
        <w:tc>
          <w:tcPr>
            <w:tcW w:w="1242" w:type="dxa"/>
          </w:tcPr>
          <w:p w14:paraId="47E8C4FB" w14:textId="260ADCA3" w:rsidR="00D32346" w:rsidRDefault="00D32346">
            <w:r>
              <w:t>EDV</w:t>
            </w:r>
          </w:p>
        </w:tc>
        <w:tc>
          <w:tcPr>
            <w:tcW w:w="7970" w:type="dxa"/>
          </w:tcPr>
          <w:p w14:paraId="47D9A8C6" w14:textId="227B56A1" w:rsidR="00D32346" w:rsidRDefault="00D32346">
            <w:r w:rsidRPr="00D32346">
              <w:t>Elektronische Datenverarbeitung</w:t>
            </w:r>
          </w:p>
        </w:tc>
      </w:tr>
      <w:tr w:rsidR="00072F0D" w14:paraId="510EC69D" w14:textId="77777777">
        <w:tc>
          <w:tcPr>
            <w:tcW w:w="1242" w:type="dxa"/>
          </w:tcPr>
          <w:p w14:paraId="167F5C60" w14:textId="2424DC48" w:rsidR="00072F0D" w:rsidRDefault="00072F0D">
            <w:r>
              <w:t>EN</w:t>
            </w:r>
          </w:p>
        </w:tc>
        <w:tc>
          <w:tcPr>
            <w:tcW w:w="7970" w:type="dxa"/>
          </w:tcPr>
          <w:p w14:paraId="2F0795E9" w14:textId="0E90E02B" w:rsidR="00072F0D" w:rsidRPr="00D32346" w:rsidRDefault="00072F0D">
            <w:r w:rsidRPr="00072F0D">
              <w:t>Europäische Norm</w:t>
            </w:r>
          </w:p>
        </w:tc>
      </w:tr>
      <w:tr w:rsidR="00D32346" w14:paraId="1B9B918D" w14:textId="77777777">
        <w:tc>
          <w:tcPr>
            <w:tcW w:w="1242" w:type="dxa"/>
          </w:tcPr>
          <w:p w14:paraId="3A658DA7" w14:textId="77777777" w:rsidR="00D32346" w:rsidRDefault="00D32346">
            <w:r w:rsidRPr="006C6D59">
              <w:t>ErwGr</w:t>
            </w:r>
            <w:r>
              <w:t>.</w:t>
            </w:r>
          </w:p>
        </w:tc>
        <w:tc>
          <w:tcPr>
            <w:tcW w:w="7970" w:type="dxa"/>
          </w:tcPr>
          <w:p w14:paraId="64F81070" w14:textId="77777777" w:rsidR="00D32346" w:rsidRDefault="00D32346">
            <w:r>
              <w:t>Erwägungsgrund/Erwägungsgründe</w:t>
            </w:r>
          </w:p>
        </w:tc>
      </w:tr>
      <w:tr w:rsidR="00D32346" w14:paraId="605EA42E" w14:textId="77777777">
        <w:tc>
          <w:tcPr>
            <w:tcW w:w="1242" w:type="dxa"/>
          </w:tcPr>
          <w:p w14:paraId="3A2B812D" w14:textId="77777777" w:rsidR="00D32346" w:rsidRDefault="00D32346">
            <w:r>
              <w:t>EU</w:t>
            </w:r>
          </w:p>
        </w:tc>
        <w:tc>
          <w:tcPr>
            <w:tcW w:w="7970" w:type="dxa"/>
          </w:tcPr>
          <w:p w14:paraId="3207629B" w14:textId="77777777" w:rsidR="00D32346" w:rsidRDefault="00D32346" w:rsidP="00591FB4">
            <w:r>
              <w:t>Europäische Union</w:t>
            </w:r>
          </w:p>
        </w:tc>
      </w:tr>
      <w:tr w:rsidR="00D32346" w14:paraId="4AC0A760" w14:textId="77777777">
        <w:tc>
          <w:tcPr>
            <w:tcW w:w="1242" w:type="dxa"/>
          </w:tcPr>
          <w:p w14:paraId="29CD6AAE" w14:textId="77777777" w:rsidR="00D32346" w:rsidRDefault="00D32346">
            <w:r w:rsidRPr="006C6D59">
              <w:t>GMDS</w:t>
            </w:r>
          </w:p>
        </w:tc>
        <w:tc>
          <w:tcPr>
            <w:tcW w:w="7970" w:type="dxa"/>
          </w:tcPr>
          <w:p w14:paraId="48825340" w14:textId="77777777" w:rsidR="00D32346" w:rsidRDefault="00D32346">
            <w:r>
              <w:t xml:space="preserve">Deutsche Gesellschaft für </w:t>
            </w:r>
            <w:r w:rsidRPr="00F215B1">
              <w:t>Medizinische</w:t>
            </w:r>
            <w:r>
              <w:t xml:space="preserve"> Informatik, Biometrie und Epidemiologie </w:t>
            </w:r>
            <w:r w:rsidRPr="00F215B1">
              <w:t>e.V.</w:t>
            </w:r>
          </w:p>
        </w:tc>
      </w:tr>
      <w:tr w:rsidR="00D32346" w14:paraId="5287156A" w14:textId="77777777">
        <w:tc>
          <w:tcPr>
            <w:tcW w:w="1242" w:type="dxa"/>
          </w:tcPr>
          <w:p w14:paraId="5BE1E1A5" w14:textId="77777777" w:rsidR="00D32346" w:rsidRDefault="00D32346">
            <w:r w:rsidRPr="00D32346">
              <w:t>HIPAA</w:t>
            </w:r>
          </w:p>
        </w:tc>
        <w:tc>
          <w:tcPr>
            <w:tcW w:w="7970" w:type="dxa"/>
          </w:tcPr>
          <w:p w14:paraId="039A53A2" w14:textId="77777777" w:rsidR="00D32346" w:rsidRDefault="00D32346" w:rsidP="00591FB4">
            <w:pPr>
              <w:rPr>
                <w:rFonts w:eastAsiaTheme="majorEastAsia"/>
              </w:rPr>
            </w:pPr>
            <w:proofErr w:type="spellStart"/>
            <w:r w:rsidRPr="00D32346">
              <w:rPr>
                <w:rFonts w:eastAsiaTheme="majorEastAsia"/>
              </w:rPr>
              <w:t>Health</w:t>
            </w:r>
            <w:proofErr w:type="spellEnd"/>
            <w:r w:rsidRPr="00D32346">
              <w:rPr>
                <w:rFonts w:eastAsiaTheme="majorEastAsia"/>
              </w:rPr>
              <w:t xml:space="preserve"> Insurance </w:t>
            </w:r>
            <w:proofErr w:type="spellStart"/>
            <w:r w:rsidRPr="00D32346">
              <w:rPr>
                <w:rFonts w:eastAsiaTheme="majorEastAsia"/>
              </w:rPr>
              <w:t>Portability</w:t>
            </w:r>
            <w:proofErr w:type="spellEnd"/>
            <w:r w:rsidRPr="00D32346">
              <w:rPr>
                <w:rFonts w:eastAsiaTheme="majorEastAsia"/>
              </w:rPr>
              <w:t xml:space="preserve"> </w:t>
            </w:r>
            <w:proofErr w:type="spellStart"/>
            <w:r w:rsidRPr="00D32346">
              <w:rPr>
                <w:rFonts w:eastAsiaTheme="majorEastAsia"/>
              </w:rPr>
              <w:t>and</w:t>
            </w:r>
            <w:proofErr w:type="spellEnd"/>
            <w:r w:rsidRPr="00D32346">
              <w:rPr>
                <w:rFonts w:eastAsiaTheme="majorEastAsia"/>
              </w:rPr>
              <w:t xml:space="preserve"> </w:t>
            </w:r>
            <w:proofErr w:type="spellStart"/>
            <w:r w:rsidRPr="00D32346">
              <w:rPr>
                <w:rFonts w:eastAsiaTheme="majorEastAsia"/>
              </w:rPr>
              <w:t>Accountability</w:t>
            </w:r>
            <w:proofErr w:type="spellEnd"/>
            <w:r w:rsidRPr="00D32346">
              <w:rPr>
                <w:rFonts w:eastAsiaTheme="majorEastAsia"/>
              </w:rPr>
              <w:t xml:space="preserve"> </w:t>
            </w:r>
            <w:proofErr w:type="spellStart"/>
            <w:r w:rsidRPr="00D32346">
              <w:rPr>
                <w:rFonts w:eastAsiaTheme="majorEastAsia"/>
              </w:rPr>
              <w:t>Act</w:t>
            </w:r>
            <w:proofErr w:type="spellEnd"/>
          </w:p>
        </w:tc>
      </w:tr>
      <w:tr w:rsidR="00D32346" w14:paraId="60B0B200" w14:textId="77777777">
        <w:tc>
          <w:tcPr>
            <w:tcW w:w="1242" w:type="dxa"/>
          </w:tcPr>
          <w:p w14:paraId="234D59C1" w14:textId="77777777" w:rsidR="00D32346" w:rsidRPr="00591FB4" w:rsidRDefault="00D32346">
            <w:r w:rsidRPr="00591FB4">
              <w:t>i.d.R.</w:t>
            </w:r>
          </w:p>
        </w:tc>
        <w:tc>
          <w:tcPr>
            <w:tcW w:w="7970" w:type="dxa"/>
          </w:tcPr>
          <w:p w14:paraId="6978F736" w14:textId="77777777" w:rsidR="00D32346" w:rsidRDefault="00D32346" w:rsidP="00591FB4">
            <w:r>
              <w:t>in der Regel</w:t>
            </w:r>
          </w:p>
        </w:tc>
      </w:tr>
      <w:tr w:rsidR="00072F0D" w14:paraId="50337E29" w14:textId="77777777">
        <w:tc>
          <w:tcPr>
            <w:tcW w:w="1242" w:type="dxa"/>
          </w:tcPr>
          <w:p w14:paraId="5C1C5C19" w14:textId="4181EE9B" w:rsidR="00072F0D" w:rsidRPr="00591FB4" w:rsidRDefault="00072F0D">
            <w:proofErr w:type="spellStart"/>
            <w:r>
              <w:t>i.S.d</w:t>
            </w:r>
            <w:proofErr w:type="spellEnd"/>
            <w:r>
              <w:t>.</w:t>
            </w:r>
          </w:p>
        </w:tc>
        <w:tc>
          <w:tcPr>
            <w:tcW w:w="7970" w:type="dxa"/>
          </w:tcPr>
          <w:p w14:paraId="47061A80" w14:textId="3C95F29F" w:rsidR="00072F0D" w:rsidRDefault="00072F0D" w:rsidP="00591FB4">
            <w:r>
              <w:t>Im Sinne des/der</w:t>
            </w:r>
          </w:p>
        </w:tc>
      </w:tr>
      <w:tr w:rsidR="00D32346" w14:paraId="75541DBF" w14:textId="77777777">
        <w:tc>
          <w:tcPr>
            <w:tcW w:w="1242" w:type="dxa"/>
          </w:tcPr>
          <w:p w14:paraId="180B3B2A" w14:textId="028C6EBE" w:rsidR="00D32346" w:rsidRPr="00591FB4" w:rsidRDefault="00D32346">
            <w:r>
              <w:t>ISO</w:t>
            </w:r>
          </w:p>
        </w:tc>
        <w:tc>
          <w:tcPr>
            <w:tcW w:w="7970" w:type="dxa"/>
          </w:tcPr>
          <w:p w14:paraId="01E97C59" w14:textId="0979D2C7" w:rsidR="00D32346" w:rsidRDefault="00D32346" w:rsidP="00591FB4">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p>
        </w:tc>
      </w:tr>
      <w:tr w:rsidR="00D32346" w14:paraId="54DA30F7" w14:textId="77777777">
        <w:tc>
          <w:tcPr>
            <w:tcW w:w="1242" w:type="dxa"/>
          </w:tcPr>
          <w:p w14:paraId="75A98C9A" w14:textId="77777777" w:rsidR="00D32346" w:rsidRPr="006C6D59" w:rsidRDefault="00D32346">
            <w:r w:rsidRPr="00591FB4">
              <w:t>i.S.v.</w:t>
            </w:r>
          </w:p>
        </w:tc>
        <w:tc>
          <w:tcPr>
            <w:tcW w:w="7970" w:type="dxa"/>
          </w:tcPr>
          <w:p w14:paraId="0483F1A6" w14:textId="77777777" w:rsidR="00D32346" w:rsidRDefault="00D32346" w:rsidP="00591FB4">
            <w:r>
              <w:t>im Sinne von</w:t>
            </w:r>
          </w:p>
        </w:tc>
      </w:tr>
      <w:tr w:rsidR="00D32346" w14:paraId="65AB7EE0" w14:textId="77777777">
        <w:tc>
          <w:tcPr>
            <w:tcW w:w="1242" w:type="dxa"/>
          </w:tcPr>
          <w:p w14:paraId="7A1327B0" w14:textId="54768F00" w:rsidR="00D32346" w:rsidRPr="00591FB4" w:rsidRDefault="00D32346">
            <w:r>
              <w:t>IT</w:t>
            </w:r>
          </w:p>
        </w:tc>
        <w:tc>
          <w:tcPr>
            <w:tcW w:w="7970" w:type="dxa"/>
          </w:tcPr>
          <w:p w14:paraId="4BE685E5" w14:textId="6F1800BE" w:rsidR="00D32346" w:rsidRDefault="00D32346" w:rsidP="00591FB4">
            <w:r>
              <w:t>Informationstechnik, informationstechnisches…</w:t>
            </w:r>
          </w:p>
        </w:tc>
      </w:tr>
      <w:tr w:rsidR="00D32346" w14:paraId="1547CB4F" w14:textId="77777777">
        <w:tc>
          <w:tcPr>
            <w:tcW w:w="1242" w:type="dxa"/>
          </w:tcPr>
          <w:p w14:paraId="51954E65" w14:textId="77777777" w:rsidR="00D32346" w:rsidRDefault="00D32346">
            <w:r w:rsidRPr="006C6D59">
              <w:t>ICD</w:t>
            </w:r>
          </w:p>
        </w:tc>
        <w:tc>
          <w:tcPr>
            <w:tcW w:w="7970" w:type="dxa"/>
          </w:tcPr>
          <w:p w14:paraId="67ED4A49" w14:textId="77777777" w:rsidR="00D32346" w:rsidRDefault="00D32346">
            <w:r>
              <w:t xml:space="preserve">Internationale Klassifikation der Krankheiten (International </w:t>
            </w:r>
            <w:proofErr w:type="spellStart"/>
            <w:r w:rsidRPr="00F215B1">
              <w:t>Classification</w:t>
            </w:r>
            <w:proofErr w:type="spellEnd"/>
            <w:r>
              <w:t xml:space="preserve"> </w:t>
            </w:r>
            <w:proofErr w:type="spellStart"/>
            <w:r>
              <w:t>of</w:t>
            </w:r>
            <w:proofErr w:type="spellEnd"/>
            <w:r>
              <w:t xml:space="preserve"> </w:t>
            </w:r>
            <w:proofErr w:type="spellStart"/>
            <w:r w:rsidRPr="00F215B1">
              <w:t>Diseases</w:t>
            </w:r>
            <w:proofErr w:type="spellEnd"/>
            <w:r>
              <w:t>)</w:t>
            </w:r>
          </w:p>
        </w:tc>
      </w:tr>
      <w:tr w:rsidR="00D32346" w14:paraId="712CDD23" w14:textId="77777777">
        <w:tc>
          <w:tcPr>
            <w:tcW w:w="1242" w:type="dxa"/>
          </w:tcPr>
          <w:p w14:paraId="7E4F41AE" w14:textId="77777777" w:rsidR="00D32346" w:rsidRPr="00591FB4" w:rsidRDefault="00D32346">
            <w:r>
              <w:t>ID</w:t>
            </w:r>
          </w:p>
        </w:tc>
        <w:tc>
          <w:tcPr>
            <w:tcW w:w="7970" w:type="dxa"/>
          </w:tcPr>
          <w:p w14:paraId="4197A1F4" w14:textId="77777777" w:rsidR="00D32346" w:rsidRDefault="00D32346" w:rsidP="00591FB4">
            <w:proofErr w:type="spellStart"/>
            <w:r>
              <w:t>Identifikator</w:t>
            </w:r>
            <w:proofErr w:type="spellEnd"/>
            <w:r>
              <w:t xml:space="preserve">/Identifier, </w:t>
            </w:r>
            <w:r w:rsidRPr="00591FB4">
              <w:t>Identifikationsnumme</w:t>
            </w:r>
            <w:r>
              <w:t>r</w:t>
            </w:r>
          </w:p>
        </w:tc>
      </w:tr>
      <w:tr w:rsidR="00D32346" w14:paraId="68239D05" w14:textId="77777777">
        <w:tc>
          <w:tcPr>
            <w:tcW w:w="1242" w:type="dxa"/>
          </w:tcPr>
          <w:p w14:paraId="612C7D33" w14:textId="77777777" w:rsidR="00D32346" w:rsidRDefault="00D32346">
            <w:r>
              <w:t>Kap.</w:t>
            </w:r>
          </w:p>
        </w:tc>
        <w:tc>
          <w:tcPr>
            <w:tcW w:w="7970" w:type="dxa"/>
          </w:tcPr>
          <w:p w14:paraId="02CC068A" w14:textId="77777777" w:rsidR="00D32346" w:rsidRDefault="00D32346" w:rsidP="00591FB4">
            <w:r>
              <w:t>Kapitel</w:t>
            </w:r>
          </w:p>
        </w:tc>
      </w:tr>
      <w:tr w:rsidR="00D32346" w14:paraId="2673763E" w14:textId="77777777">
        <w:tc>
          <w:tcPr>
            <w:tcW w:w="1242" w:type="dxa"/>
          </w:tcPr>
          <w:p w14:paraId="394BAE33" w14:textId="77777777" w:rsidR="00D32346" w:rsidRDefault="00D32346">
            <w:r>
              <w:t>LDSG</w:t>
            </w:r>
          </w:p>
        </w:tc>
        <w:tc>
          <w:tcPr>
            <w:tcW w:w="7970" w:type="dxa"/>
          </w:tcPr>
          <w:p w14:paraId="27669BCB" w14:textId="77777777" w:rsidR="00D32346" w:rsidRDefault="00D32346" w:rsidP="00591FB4">
            <w:r>
              <w:rPr>
                <w:rFonts w:eastAsiaTheme="majorEastAsia"/>
              </w:rPr>
              <w:t>Landesdatenschutzgesetz</w:t>
            </w:r>
          </w:p>
        </w:tc>
      </w:tr>
      <w:tr w:rsidR="00D32346" w14:paraId="2A6B7069" w14:textId="77777777">
        <w:tc>
          <w:tcPr>
            <w:tcW w:w="1242" w:type="dxa"/>
          </w:tcPr>
          <w:p w14:paraId="368BE48B" w14:textId="77777777" w:rsidR="00D32346" w:rsidRDefault="00D32346">
            <w:r>
              <w:t>lit.</w:t>
            </w:r>
          </w:p>
        </w:tc>
        <w:tc>
          <w:tcPr>
            <w:tcW w:w="7970" w:type="dxa"/>
          </w:tcPr>
          <w:p w14:paraId="2FCB6EEE" w14:textId="77777777" w:rsidR="00D32346" w:rsidRDefault="00D32346" w:rsidP="00591FB4">
            <w:proofErr w:type="spellStart"/>
            <w:r>
              <w:rPr>
                <w:rFonts w:eastAsiaTheme="majorEastAsia"/>
              </w:rPr>
              <w:t>littera</w:t>
            </w:r>
            <w:proofErr w:type="spellEnd"/>
            <w:r>
              <w:rPr>
                <w:rFonts w:eastAsiaTheme="majorEastAsia"/>
              </w:rPr>
              <w:t xml:space="preserve"> (lat. „Buchstabe“)</w:t>
            </w:r>
          </w:p>
        </w:tc>
      </w:tr>
      <w:tr w:rsidR="00072F0D" w14:paraId="27BFCB0A" w14:textId="77777777">
        <w:tc>
          <w:tcPr>
            <w:tcW w:w="1242" w:type="dxa"/>
          </w:tcPr>
          <w:p w14:paraId="6BFC7A1A" w14:textId="506BB4E2" w:rsidR="00072F0D" w:rsidRDefault="00072F0D">
            <w:r>
              <w:t>PIN</w:t>
            </w:r>
          </w:p>
        </w:tc>
        <w:tc>
          <w:tcPr>
            <w:tcW w:w="7970" w:type="dxa"/>
          </w:tcPr>
          <w:p w14:paraId="4FE538C5" w14:textId="2E7E0A05" w:rsidR="00072F0D" w:rsidRDefault="00072F0D" w:rsidP="00591FB4">
            <w:pPr>
              <w:rPr>
                <w:rFonts w:eastAsiaTheme="majorEastAsia"/>
              </w:rPr>
            </w:pPr>
            <w:r w:rsidRPr="00072F0D">
              <w:rPr>
                <w:rFonts w:eastAsiaTheme="majorEastAsia"/>
              </w:rPr>
              <w:t>Persönliche Identifikationsnummer</w:t>
            </w:r>
          </w:p>
        </w:tc>
      </w:tr>
      <w:tr w:rsidR="00D32346" w14:paraId="57F06C6A" w14:textId="77777777">
        <w:tc>
          <w:tcPr>
            <w:tcW w:w="1242" w:type="dxa"/>
          </w:tcPr>
          <w:p w14:paraId="76C43EB6" w14:textId="77777777" w:rsidR="00D32346" w:rsidRDefault="00D32346">
            <w:r>
              <w:t>Nr.</w:t>
            </w:r>
          </w:p>
        </w:tc>
        <w:tc>
          <w:tcPr>
            <w:tcW w:w="7970" w:type="dxa"/>
          </w:tcPr>
          <w:p w14:paraId="61A6D2C3" w14:textId="77777777" w:rsidR="00D32346" w:rsidRDefault="00D32346" w:rsidP="00591FB4">
            <w:pPr>
              <w:rPr>
                <w:rFonts w:eastAsiaTheme="majorEastAsia"/>
              </w:rPr>
            </w:pPr>
            <w:r>
              <w:rPr>
                <w:rFonts w:eastAsiaTheme="majorEastAsia"/>
              </w:rPr>
              <w:t>Nummer</w:t>
            </w:r>
          </w:p>
        </w:tc>
      </w:tr>
      <w:tr w:rsidR="00D32346" w14:paraId="164AC595" w14:textId="77777777">
        <w:tc>
          <w:tcPr>
            <w:tcW w:w="1242" w:type="dxa"/>
          </w:tcPr>
          <w:p w14:paraId="3D7BF5BA" w14:textId="77777777" w:rsidR="00D32346" w:rsidRDefault="00D32346">
            <w:r>
              <w:t>S.</w:t>
            </w:r>
          </w:p>
        </w:tc>
        <w:tc>
          <w:tcPr>
            <w:tcW w:w="7970" w:type="dxa"/>
          </w:tcPr>
          <w:p w14:paraId="578EA487" w14:textId="77777777" w:rsidR="00D32346" w:rsidRDefault="00D32346">
            <w:r>
              <w:t>Satz</w:t>
            </w:r>
          </w:p>
        </w:tc>
      </w:tr>
      <w:tr w:rsidR="00D32346" w14:paraId="530515AC" w14:textId="77777777">
        <w:tc>
          <w:tcPr>
            <w:tcW w:w="1242" w:type="dxa"/>
          </w:tcPr>
          <w:p w14:paraId="4D8AA63E" w14:textId="77777777" w:rsidR="00D32346" w:rsidRDefault="00D32346">
            <w:proofErr w:type="spellStart"/>
            <w:r w:rsidRPr="00D32346">
              <w:t>StudyUID</w:t>
            </w:r>
            <w:proofErr w:type="spellEnd"/>
          </w:p>
        </w:tc>
        <w:tc>
          <w:tcPr>
            <w:tcW w:w="7970" w:type="dxa"/>
          </w:tcPr>
          <w:p w14:paraId="5B186C71" w14:textId="77777777" w:rsidR="00D32346" w:rsidRPr="00D32346" w:rsidRDefault="00D32346" w:rsidP="00591FB4">
            <w:pPr>
              <w:rPr>
                <w:rFonts w:eastAsiaTheme="majorEastAsia"/>
              </w:rPr>
            </w:pPr>
            <w:r>
              <w:rPr>
                <w:rFonts w:eastAsiaTheme="majorEastAsia"/>
              </w:rPr>
              <w:t xml:space="preserve">Study </w:t>
            </w:r>
            <w:r w:rsidRPr="00D32346">
              <w:rPr>
                <w:rFonts w:eastAsiaTheme="majorEastAsia"/>
              </w:rPr>
              <w:t xml:space="preserve">Unique </w:t>
            </w:r>
            <w:proofErr w:type="spellStart"/>
            <w:r w:rsidRPr="00D32346">
              <w:rPr>
                <w:rFonts w:eastAsiaTheme="majorEastAsia"/>
              </w:rPr>
              <w:t>Identifiers</w:t>
            </w:r>
            <w:proofErr w:type="spellEnd"/>
            <w:r>
              <w:rPr>
                <w:rFonts w:eastAsiaTheme="majorEastAsia"/>
              </w:rPr>
              <w:t xml:space="preserve"> (</w:t>
            </w:r>
            <w:r w:rsidRPr="00D32346">
              <w:rPr>
                <w:rFonts w:eastAsiaTheme="majorEastAsia"/>
              </w:rPr>
              <w:t>Untersuchungs-UID</w:t>
            </w:r>
            <w:r>
              <w:rPr>
                <w:rFonts w:eastAsiaTheme="majorEastAsia"/>
              </w:rPr>
              <w:t>)</w:t>
            </w:r>
          </w:p>
        </w:tc>
      </w:tr>
      <w:tr w:rsidR="00072F0D" w14:paraId="744E4ACA" w14:textId="77777777">
        <w:tc>
          <w:tcPr>
            <w:tcW w:w="1242" w:type="dxa"/>
          </w:tcPr>
          <w:p w14:paraId="1DE199C7" w14:textId="360BE717" w:rsidR="00072F0D" w:rsidRPr="00D32346" w:rsidRDefault="00072F0D">
            <w:r>
              <w:t>TAN</w:t>
            </w:r>
          </w:p>
        </w:tc>
        <w:tc>
          <w:tcPr>
            <w:tcW w:w="7970" w:type="dxa"/>
          </w:tcPr>
          <w:p w14:paraId="72D519DE" w14:textId="5F87BED6" w:rsidR="00072F0D" w:rsidRDefault="00072F0D" w:rsidP="00591FB4">
            <w:pPr>
              <w:rPr>
                <w:rFonts w:eastAsiaTheme="majorEastAsia"/>
              </w:rPr>
            </w:pPr>
            <w:r>
              <w:rPr>
                <w:rFonts w:eastAsiaTheme="majorEastAsia"/>
              </w:rPr>
              <w:t>Transaktionsnummer</w:t>
            </w:r>
          </w:p>
        </w:tc>
      </w:tr>
      <w:tr w:rsidR="00D32346" w14:paraId="7BCAA178" w14:textId="77777777">
        <w:tc>
          <w:tcPr>
            <w:tcW w:w="1242" w:type="dxa"/>
          </w:tcPr>
          <w:p w14:paraId="051D5389" w14:textId="77777777" w:rsidR="00D32346" w:rsidRDefault="00D32346">
            <w:r w:rsidRPr="006C6D59">
              <w:t>Ziff</w:t>
            </w:r>
            <w:r>
              <w:t>.</w:t>
            </w:r>
          </w:p>
        </w:tc>
        <w:tc>
          <w:tcPr>
            <w:tcW w:w="7970" w:type="dxa"/>
          </w:tcPr>
          <w:p w14:paraId="511A5F66" w14:textId="77777777" w:rsidR="00D32346" w:rsidRDefault="00D32346">
            <w:r>
              <w:t>Ziffer</w:t>
            </w:r>
          </w:p>
        </w:tc>
      </w:tr>
    </w:tbl>
    <w:p w14:paraId="74FD83AA" w14:textId="77777777" w:rsidR="001D0CB2" w:rsidRDefault="001D0CB2"/>
    <w:p w14:paraId="3CB11023"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6FC4E076" w14:textId="77777777" w:rsidR="001D0CB2" w:rsidRDefault="00E27FE2">
      <w:pPr>
        <w:pStyle w:val="berschrift1"/>
      </w:pPr>
      <w:bookmarkStart w:id="127" w:name="_Toc517507993"/>
      <w:r>
        <w:lastRenderedPageBreak/>
        <w:t>Glossar</w:t>
      </w:r>
      <w:bookmarkEnd w:id="127"/>
    </w:p>
    <w:tbl>
      <w:tblPr>
        <w:tblStyle w:val="Tabellenraster"/>
        <w:tblW w:w="9606" w:type="dxa"/>
        <w:tblLayout w:type="fixed"/>
        <w:tblLook w:val="04A0" w:firstRow="1" w:lastRow="0" w:firstColumn="1" w:lastColumn="0" w:noHBand="0" w:noVBand="1"/>
      </w:tblPr>
      <w:tblGrid>
        <w:gridCol w:w="2360"/>
        <w:gridCol w:w="7246"/>
      </w:tblGrid>
      <w:tr w:rsidR="001D0CB2" w14:paraId="4B92A04A" w14:textId="77777777">
        <w:tc>
          <w:tcPr>
            <w:tcW w:w="2360" w:type="dxa"/>
          </w:tcPr>
          <w:p w14:paraId="6EE3EF39" w14:textId="77777777" w:rsidR="001D0CB2" w:rsidRDefault="00E27FE2">
            <w:pPr>
              <w:jc w:val="left"/>
            </w:pPr>
            <w:r>
              <w:t xml:space="preserve">Aggregierte </w:t>
            </w:r>
            <w:r w:rsidRPr="00F215B1">
              <w:t>Daten</w:t>
            </w:r>
          </w:p>
        </w:tc>
        <w:tc>
          <w:tcPr>
            <w:tcW w:w="7246" w:type="dxa"/>
          </w:tcPr>
          <w:p w14:paraId="395D4E53" w14:textId="77777777" w:rsidR="001D0CB2" w:rsidRDefault="00E27FE2">
            <w:r>
              <w:t xml:space="preserve">Zusammenfassung von Einzelwerten zu größeren Einheiten; ein Rückschluss auf die Einzeldaten ist </w:t>
            </w:r>
            <w:r w:rsidRPr="00F215B1">
              <w:t>i.d.R.</w:t>
            </w:r>
            <w:r>
              <w:t xml:space="preserve"> nicht mehr </w:t>
            </w:r>
            <w:r w:rsidRPr="00F215B1">
              <w:t>möglich</w:t>
            </w:r>
          </w:p>
        </w:tc>
      </w:tr>
      <w:tr w:rsidR="001D0CB2" w14:paraId="3AAB7C8B" w14:textId="77777777">
        <w:tc>
          <w:tcPr>
            <w:tcW w:w="2360" w:type="dxa"/>
          </w:tcPr>
          <w:p w14:paraId="531C246D" w14:textId="77777777" w:rsidR="001D0CB2" w:rsidRDefault="00E27FE2">
            <w:pPr>
              <w:jc w:val="left"/>
            </w:pPr>
            <w:r>
              <w:t xml:space="preserve">Anonymisierte </w:t>
            </w:r>
            <w:r w:rsidRPr="00F215B1">
              <w:t>Daten</w:t>
            </w:r>
          </w:p>
        </w:tc>
        <w:tc>
          <w:tcPr>
            <w:tcW w:w="7246" w:type="dxa"/>
          </w:tcPr>
          <w:p w14:paraId="79AE58DD" w14:textId="7C1BCD87" w:rsidR="001D0CB2" w:rsidRDefault="00E27FE2">
            <w:r>
              <w:t xml:space="preserve">Daten, die als Ergebnis eines Anonymisierungsprozesses erzeugt </w:t>
            </w:r>
            <w:r w:rsidRPr="00F215B1">
              <w:t>wurde</w:t>
            </w:r>
            <w:r w:rsidR="0058768E" w:rsidRPr="00F215B1">
              <w:t>n</w:t>
            </w:r>
          </w:p>
          <w:p w14:paraId="30940C60" w14:textId="77777777" w:rsidR="001D0CB2" w:rsidRDefault="00E27FE2">
            <w:r>
              <w:t>(Quelle: DIN EN ISO 25237)</w:t>
            </w:r>
          </w:p>
        </w:tc>
      </w:tr>
      <w:tr w:rsidR="001D0CB2" w14:paraId="6F014A5B" w14:textId="77777777">
        <w:tc>
          <w:tcPr>
            <w:tcW w:w="2360" w:type="dxa"/>
          </w:tcPr>
          <w:p w14:paraId="5FD5A6C7" w14:textId="77777777" w:rsidR="001D0CB2" w:rsidRDefault="00E27FE2">
            <w:pPr>
              <w:jc w:val="left"/>
            </w:pPr>
            <w:r>
              <w:t>Anonymisierung</w:t>
            </w:r>
          </w:p>
        </w:tc>
        <w:tc>
          <w:tcPr>
            <w:tcW w:w="7246" w:type="dxa"/>
          </w:tcPr>
          <w:p w14:paraId="226C08AC" w14:textId="77777777" w:rsidR="001D0CB2" w:rsidRDefault="00E27FE2">
            <w:r>
              <w:t xml:space="preserve">Prozess, bei dem personenbezogene Daten entweder vom für die Verarbeitung der Daten Verantwortlichen allein oder in Zusammenarbeit mit einer anderen Partei (Auftragsverarbeiter) unumkehrbar so verändert werden, dass sich die betroffene Person danach weder direkt noch indirekt identifizieren </w:t>
            </w:r>
            <w:r w:rsidRPr="00F215B1">
              <w:t>lässt</w:t>
            </w:r>
          </w:p>
          <w:p w14:paraId="259562F0" w14:textId="77777777" w:rsidR="001D0CB2" w:rsidRDefault="00E27FE2">
            <w:r>
              <w:t>(Quelle: DIN EN ISO 25237)</w:t>
            </w:r>
          </w:p>
        </w:tc>
      </w:tr>
      <w:tr w:rsidR="001D0CB2" w14:paraId="718A874F" w14:textId="77777777">
        <w:tc>
          <w:tcPr>
            <w:tcW w:w="2360" w:type="dxa"/>
          </w:tcPr>
          <w:p w14:paraId="1F8E759A" w14:textId="77777777" w:rsidR="001D0CB2" w:rsidRDefault="00E27FE2">
            <w:pPr>
              <w:jc w:val="left"/>
            </w:pPr>
            <w:r>
              <w:t>Auftragsverarbeiter</w:t>
            </w:r>
          </w:p>
        </w:tc>
        <w:tc>
          <w:tcPr>
            <w:tcW w:w="7246" w:type="dxa"/>
          </w:tcPr>
          <w:p w14:paraId="37426831" w14:textId="77777777" w:rsidR="001D0CB2" w:rsidRDefault="00E27FE2">
            <w:r>
              <w:t>„</w:t>
            </w:r>
            <w:r>
              <w:sym w:font="Symbol" w:char="F0A2"/>
            </w:r>
            <w:r>
              <w:t>Auftragsverarbeiter</w:t>
            </w:r>
            <w:r w:rsidRPr="00F215B1">
              <w:sym w:font="Symbol" w:char="F0A2"/>
            </w:r>
            <w:r w:rsidRPr="00F215B1">
              <w:t xml:space="preserve"> eine</w:t>
            </w:r>
            <w:r>
              <w:t xml:space="preserve"> natürliche oder juristische Person, Behörde, Einrichtung oder andere Stelle, die personenbezogene Daten im Auftrag des Verantwortlichen verarbeitet</w:t>
            </w:r>
            <w:r w:rsidRPr="00F215B1">
              <w:t>“</w:t>
            </w:r>
          </w:p>
          <w:p w14:paraId="09A3F213" w14:textId="77777777" w:rsidR="001D0CB2" w:rsidRDefault="00E27FE2">
            <w:r>
              <w:t xml:space="preserve">(Quelle: Art. 4 </w:t>
            </w:r>
            <w:r w:rsidRPr="006C6D59">
              <w:t>Ziff</w:t>
            </w:r>
            <w:r>
              <w:t>. 8 DS-GVO)</w:t>
            </w:r>
          </w:p>
        </w:tc>
      </w:tr>
      <w:tr w:rsidR="001D0CB2" w14:paraId="41AF2152" w14:textId="77777777">
        <w:tc>
          <w:tcPr>
            <w:tcW w:w="2360" w:type="dxa"/>
          </w:tcPr>
          <w:p w14:paraId="6A75DBAE" w14:textId="77777777" w:rsidR="001D0CB2" w:rsidRDefault="00E27FE2">
            <w:pPr>
              <w:jc w:val="left"/>
            </w:pPr>
            <w:r>
              <w:t>Automatische Verarbeitung</w:t>
            </w:r>
          </w:p>
        </w:tc>
        <w:tc>
          <w:tcPr>
            <w:tcW w:w="7246" w:type="dxa"/>
          </w:tcPr>
          <w:p w14:paraId="46799753" w14:textId="2D50F7D0" w:rsidR="001D0CB2" w:rsidRDefault="00E27FE2">
            <w:r>
              <w:t xml:space="preserve">Verarbeitung unter Nutzung von EDV; also </w:t>
            </w:r>
            <w:r w:rsidR="00F215B1" w:rsidRPr="00F215B1">
              <w:t>z. B.</w:t>
            </w:r>
            <w:r>
              <w:t xml:space="preserve"> Word- oder Excel-Datei, aber auch </w:t>
            </w:r>
            <w:r w:rsidRPr="00F215B1">
              <w:t>KIS</w:t>
            </w:r>
            <w:r>
              <w:t xml:space="preserve">, </w:t>
            </w:r>
            <w:r w:rsidRPr="00F215B1">
              <w:t>RIS</w:t>
            </w:r>
            <w:r>
              <w:t xml:space="preserve">, </w:t>
            </w:r>
            <w:r w:rsidRPr="00F215B1">
              <w:t>PACS</w:t>
            </w:r>
            <w:r>
              <w:t>, unabhängig ob Client-Server-Lösung oder Stand-</w:t>
            </w:r>
            <w:proofErr w:type="spellStart"/>
            <w:r>
              <w:t>alone</w:t>
            </w:r>
            <w:proofErr w:type="spellEnd"/>
            <w:r>
              <w:t xml:space="preserve"> PC, </w:t>
            </w:r>
            <w:proofErr w:type="spellStart"/>
            <w:r>
              <w:t>Tablet</w:t>
            </w:r>
            <w:proofErr w:type="spellEnd"/>
            <w:r>
              <w:t xml:space="preserve"> oder anderweitige Hardware genutzt </w:t>
            </w:r>
            <w:r w:rsidRPr="00F215B1">
              <w:t>wird</w:t>
            </w:r>
          </w:p>
        </w:tc>
      </w:tr>
      <w:tr w:rsidR="001D0CB2" w14:paraId="12BCEDBE" w14:textId="77777777">
        <w:tc>
          <w:tcPr>
            <w:tcW w:w="2360" w:type="dxa"/>
          </w:tcPr>
          <w:p w14:paraId="769E1C47" w14:textId="77777777" w:rsidR="001D0CB2" w:rsidRDefault="00E27FE2">
            <w:pPr>
              <w:jc w:val="left"/>
            </w:pPr>
            <w:r>
              <w:t>Betroffener/betroffene Person</w:t>
            </w:r>
          </w:p>
        </w:tc>
        <w:tc>
          <w:tcPr>
            <w:tcW w:w="7246" w:type="dxa"/>
          </w:tcPr>
          <w:p w14:paraId="2AAFD9AA" w14:textId="77777777" w:rsidR="001D0CB2" w:rsidRDefault="00E27FE2">
            <w:r>
              <w:t>Genau genommen „betroffene Person“, in der Literatur aber häufig als "Betroffener" aufgeführt;</w:t>
            </w:r>
          </w:p>
          <w:p w14:paraId="373E0AA0" w14:textId="51A8ACC0" w:rsidR="001D0CB2" w:rsidRDefault="00E27FE2">
            <w:r>
              <w:t xml:space="preserve"> „</w:t>
            </w:r>
            <w:r>
              <w:sym w:font="Symbol" w:char="F0A2"/>
            </w:r>
            <w:r>
              <w:t>Personenbezogene Daten</w:t>
            </w:r>
            <w:r w:rsidRPr="00F215B1">
              <w:sym w:font="Symbol" w:char="F0A2"/>
            </w:r>
            <w:r w:rsidRPr="00F215B1">
              <w:t xml:space="preserve"> alle</w:t>
            </w:r>
            <w:r>
              <w:t xml:space="preserv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r w:rsidRPr="00F215B1">
              <w:t>“</w:t>
            </w:r>
          </w:p>
          <w:p w14:paraId="622A7AFC" w14:textId="77777777" w:rsidR="001D0CB2" w:rsidRDefault="00E27FE2">
            <w:r>
              <w:t xml:space="preserve">(Quelle: Art. 4 </w:t>
            </w:r>
            <w:r w:rsidRPr="006C6D59">
              <w:t>Ziff</w:t>
            </w:r>
            <w:r>
              <w:t>. 1 DS-GVO)</w:t>
            </w:r>
          </w:p>
        </w:tc>
      </w:tr>
      <w:tr w:rsidR="001D0CB2" w14:paraId="44F4F146" w14:textId="77777777">
        <w:tc>
          <w:tcPr>
            <w:tcW w:w="2360" w:type="dxa"/>
          </w:tcPr>
          <w:p w14:paraId="74F93D7B" w14:textId="77777777" w:rsidR="001D0CB2" w:rsidRDefault="00E27FE2">
            <w:pPr>
              <w:jc w:val="left"/>
            </w:pPr>
            <w:r>
              <w:t xml:space="preserve">Data </w:t>
            </w:r>
            <w:proofErr w:type="spellStart"/>
            <w:r w:rsidRPr="006C6D59">
              <w:t>linkage</w:t>
            </w:r>
            <w:proofErr w:type="spellEnd"/>
          </w:p>
        </w:tc>
        <w:tc>
          <w:tcPr>
            <w:tcW w:w="7246" w:type="dxa"/>
          </w:tcPr>
          <w:p w14:paraId="18B87F03" w14:textId="77777777" w:rsidR="001D0CB2" w:rsidRDefault="00E27FE2">
            <w:r>
              <w:t>Abgleich und Zusammenführung von Daten aus mehreren Datenbanken</w:t>
            </w:r>
          </w:p>
          <w:p w14:paraId="78ED5C25" w14:textId="77777777" w:rsidR="001D0CB2" w:rsidRDefault="00E27FE2">
            <w:r>
              <w:t>(Quelle: DIN EN ISO 25237)</w:t>
            </w:r>
          </w:p>
        </w:tc>
      </w:tr>
      <w:tr w:rsidR="001D0CB2" w14:paraId="2DA42C5F" w14:textId="77777777">
        <w:tc>
          <w:tcPr>
            <w:tcW w:w="2360" w:type="dxa"/>
          </w:tcPr>
          <w:p w14:paraId="03D8F1C3" w14:textId="77777777" w:rsidR="001D0CB2" w:rsidRDefault="00E27FE2">
            <w:pPr>
              <w:jc w:val="left"/>
            </w:pPr>
            <w:r>
              <w:t>Datenverknüpfung</w:t>
            </w:r>
          </w:p>
        </w:tc>
        <w:tc>
          <w:tcPr>
            <w:tcW w:w="7246" w:type="dxa"/>
          </w:tcPr>
          <w:p w14:paraId="34BF6576" w14:textId="77777777" w:rsidR="001D0CB2" w:rsidRDefault="00E27FE2">
            <w:r>
              <w:t xml:space="preserve">Siehe „Data </w:t>
            </w:r>
            <w:proofErr w:type="spellStart"/>
            <w:r w:rsidRPr="006C6D59">
              <w:t>linkage</w:t>
            </w:r>
            <w:proofErr w:type="spellEnd"/>
            <w:r w:rsidRPr="00F215B1">
              <w:t>“</w:t>
            </w:r>
          </w:p>
        </w:tc>
      </w:tr>
      <w:tr w:rsidR="001D0CB2" w14:paraId="4897000B" w14:textId="77777777">
        <w:tc>
          <w:tcPr>
            <w:tcW w:w="2360" w:type="dxa"/>
          </w:tcPr>
          <w:p w14:paraId="0E46FD73" w14:textId="77777777" w:rsidR="001D0CB2" w:rsidRDefault="00E27FE2">
            <w:pPr>
              <w:jc w:val="left"/>
            </w:pPr>
            <w:r>
              <w:t>De-Anonymisierung</w:t>
            </w:r>
          </w:p>
        </w:tc>
        <w:tc>
          <w:tcPr>
            <w:tcW w:w="7246" w:type="dxa"/>
          </w:tcPr>
          <w:p w14:paraId="5475DC73" w14:textId="77777777" w:rsidR="001D0CB2" w:rsidRDefault="00E27FE2">
            <w:r>
              <w:t>(Gezielte) Aufhebung einer zuvor durchgeführten Anonymisierung von Daten</w:t>
            </w:r>
          </w:p>
        </w:tc>
      </w:tr>
      <w:tr w:rsidR="001D0CB2" w14:paraId="6CD187F0" w14:textId="77777777">
        <w:tc>
          <w:tcPr>
            <w:tcW w:w="2360" w:type="dxa"/>
          </w:tcPr>
          <w:p w14:paraId="63E97EC9" w14:textId="77777777" w:rsidR="001D0CB2" w:rsidRDefault="00E27FE2">
            <w:pPr>
              <w:jc w:val="left"/>
            </w:pPr>
            <w:r>
              <w:t>Einwilligung</w:t>
            </w:r>
          </w:p>
        </w:tc>
        <w:tc>
          <w:tcPr>
            <w:tcW w:w="7246" w:type="dxa"/>
          </w:tcPr>
          <w:p w14:paraId="0FB1C83A" w14:textId="77777777" w:rsidR="001D0CB2" w:rsidRDefault="00E27FE2">
            <w:r>
              <w:t>„</w:t>
            </w:r>
            <w:r>
              <w:sym w:font="Symbol" w:char="F0A2"/>
            </w:r>
            <w:r>
              <w:t>Einwilligung</w:t>
            </w:r>
            <w:r w:rsidRPr="00F215B1">
              <w:sym w:font="Symbol" w:char="F0A2"/>
            </w:r>
            <w:r w:rsidRPr="00F215B1">
              <w:t xml:space="preserve"> der</w:t>
            </w:r>
            <w:r>
              <w:t xml:space="preserve">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sidRPr="00F215B1">
              <w:t>“</w:t>
            </w:r>
          </w:p>
          <w:p w14:paraId="325B1F6E" w14:textId="77777777" w:rsidR="001D0CB2" w:rsidRDefault="00E27FE2">
            <w:r>
              <w:t xml:space="preserve">(Quelle: Art. 4 </w:t>
            </w:r>
            <w:r w:rsidRPr="006C6D59">
              <w:t>Ziff</w:t>
            </w:r>
            <w:r>
              <w:t>. 11 DS-GVO)</w:t>
            </w:r>
          </w:p>
        </w:tc>
      </w:tr>
      <w:tr w:rsidR="001D0CB2" w14:paraId="1EF5A8EE" w14:textId="77777777">
        <w:tc>
          <w:tcPr>
            <w:tcW w:w="2360" w:type="dxa"/>
          </w:tcPr>
          <w:p w14:paraId="3D58FF3E" w14:textId="77777777" w:rsidR="001D0CB2" w:rsidRDefault="00E27FE2">
            <w:pPr>
              <w:jc w:val="left"/>
            </w:pPr>
            <w:r>
              <w:t>Entpersonalisierung</w:t>
            </w:r>
          </w:p>
        </w:tc>
        <w:tc>
          <w:tcPr>
            <w:tcW w:w="7246" w:type="dxa"/>
          </w:tcPr>
          <w:p w14:paraId="1A44CD82" w14:textId="77777777" w:rsidR="001D0CB2" w:rsidRDefault="00E27FE2">
            <w:r w:rsidRPr="00F215B1">
              <w:t>allgemeine</w:t>
            </w:r>
            <w:r>
              <w:t xml:space="preserve"> Benennung für jeden Prozess der Reduktion der Zuordnung zwischen einer Menge von zur Identifizierung geeigneten Daten und der betroffenen Person</w:t>
            </w:r>
          </w:p>
          <w:p w14:paraId="5C8CC1DA" w14:textId="77777777" w:rsidR="001D0CB2" w:rsidRDefault="00E27FE2">
            <w:r>
              <w:t>(Quelle: DIN EN ISO 25237)</w:t>
            </w:r>
          </w:p>
        </w:tc>
      </w:tr>
      <w:tr w:rsidR="001D0CB2" w14:paraId="3A7C9CFE" w14:textId="77777777">
        <w:tc>
          <w:tcPr>
            <w:tcW w:w="2360" w:type="dxa"/>
          </w:tcPr>
          <w:p w14:paraId="515E790B" w14:textId="77777777" w:rsidR="001D0CB2" w:rsidRDefault="00E27FE2">
            <w:pPr>
              <w:jc w:val="left"/>
            </w:pPr>
            <w:r>
              <w:t>Genetische Daten</w:t>
            </w:r>
          </w:p>
        </w:tc>
        <w:tc>
          <w:tcPr>
            <w:tcW w:w="7246" w:type="dxa"/>
          </w:tcPr>
          <w:p w14:paraId="305678E2" w14:textId="77777777" w:rsidR="001D0CB2" w:rsidRDefault="00E27FE2">
            <w:r>
              <w:t>„</w:t>
            </w:r>
            <w:r>
              <w:sym w:font="Symbol" w:char="F0A2"/>
            </w:r>
            <w:r>
              <w:t>Genetische Daten</w:t>
            </w:r>
            <w:r w:rsidRPr="00F215B1">
              <w:sym w:font="Symbol" w:char="F0A2"/>
            </w:r>
            <w:r w:rsidRPr="00F215B1">
              <w:t xml:space="preserve"> personenbezogene</w:t>
            </w:r>
            <w:r>
              <w:t xml:space="preserv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r w:rsidRPr="00F215B1">
              <w:t>“</w:t>
            </w:r>
          </w:p>
          <w:p w14:paraId="0068406F" w14:textId="77777777" w:rsidR="001D0CB2" w:rsidRDefault="00E27FE2">
            <w:r>
              <w:t xml:space="preserve">(Quelle: Art. 4 </w:t>
            </w:r>
            <w:r w:rsidRPr="006C6D59">
              <w:t>Ziff</w:t>
            </w:r>
            <w:r>
              <w:t>. 13 DS-GVO)</w:t>
            </w:r>
          </w:p>
        </w:tc>
      </w:tr>
      <w:tr w:rsidR="001D0CB2" w14:paraId="0990447F" w14:textId="77777777">
        <w:tc>
          <w:tcPr>
            <w:tcW w:w="2360" w:type="dxa"/>
          </w:tcPr>
          <w:p w14:paraId="599F9EBB" w14:textId="77777777" w:rsidR="001D0CB2" w:rsidRDefault="00E27FE2">
            <w:pPr>
              <w:jc w:val="left"/>
            </w:pPr>
            <w:r>
              <w:lastRenderedPageBreak/>
              <w:t>Gesundheitsdaten</w:t>
            </w:r>
          </w:p>
        </w:tc>
        <w:tc>
          <w:tcPr>
            <w:tcW w:w="7246" w:type="dxa"/>
          </w:tcPr>
          <w:p w14:paraId="5B9947B8" w14:textId="77777777" w:rsidR="001D0CB2" w:rsidRDefault="00E27FE2">
            <w:r>
              <w:t>„</w:t>
            </w:r>
            <w:r>
              <w:sym w:font="Symbol" w:char="F0A2"/>
            </w:r>
            <w:r>
              <w:t>Gesundheitsdaten</w:t>
            </w:r>
            <w:r w:rsidRPr="00F215B1">
              <w:sym w:font="Symbol" w:char="F0A2"/>
            </w:r>
            <w:r w:rsidRPr="00F215B1">
              <w:t xml:space="preserve"> personenbezogene</w:t>
            </w:r>
            <w:r>
              <w:t xml:space="preserve"> Daten, die sich auf die körperliche oder geistige Gesundheit einer natürlichen Person, einschließlich der Erbringung von Gesundheitsdienstleistungen, beziehen und aus denen Informationen über deren Gesundheitszustand hervorgehen</w:t>
            </w:r>
            <w:r w:rsidRPr="00F215B1">
              <w:t>“</w:t>
            </w:r>
          </w:p>
          <w:p w14:paraId="22614B3E" w14:textId="77777777" w:rsidR="001D0CB2" w:rsidRDefault="00E27FE2">
            <w:r>
              <w:t xml:space="preserve">(Quelle: Art. 4 </w:t>
            </w:r>
            <w:r w:rsidRPr="006C6D59">
              <w:t>Ziff</w:t>
            </w:r>
            <w:r>
              <w:t>. 15 DS-GVO)</w:t>
            </w:r>
          </w:p>
        </w:tc>
      </w:tr>
      <w:tr w:rsidR="001D0CB2" w14:paraId="4675C0F4" w14:textId="77777777">
        <w:tc>
          <w:tcPr>
            <w:tcW w:w="2360" w:type="dxa"/>
          </w:tcPr>
          <w:p w14:paraId="7EA06DBC" w14:textId="77777777" w:rsidR="001D0CB2" w:rsidRDefault="00E27FE2">
            <w:pPr>
              <w:jc w:val="left"/>
            </w:pPr>
            <w:r>
              <w:t>Hashfunktion</w:t>
            </w:r>
          </w:p>
        </w:tc>
        <w:tc>
          <w:tcPr>
            <w:tcW w:w="7246" w:type="dxa"/>
          </w:tcPr>
          <w:p w14:paraId="6B9ECEF0" w14:textId="77777777" w:rsidR="001D0CB2" w:rsidRDefault="00E27FE2">
            <w:r>
              <w:t>Eindeutige Prüfsumme mit festgelegter Länge (Hash-Wert) einer Datei oder eines Datensatzes</w:t>
            </w:r>
          </w:p>
        </w:tc>
      </w:tr>
      <w:tr w:rsidR="001D0CB2" w14:paraId="01A4E24B" w14:textId="77777777">
        <w:tc>
          <w:tcPr>
            <w:tcW w:w="2360" w:type="dxa"/>
          </w:tcPr>
          <w:p w14:paraId="2E781C8B" w14:textId="77777777" w:rsidR="001D0CB2" w:rsidRDefault="00E27FE2">
            <w:pPr>
              <w:jc w:val="left"/>
            </w:pPr>
            <w:r w:rsidRPr="00F215B1">
              <w:t>identifizierbare</w:t>
            </w:r>
            <w:r>
              <w:t xml:space="preserve"> Person</w:t>
            </w:r>
          </w:p>
        </w:tc>
        <w:tc>
          <w:tcPr>
            <w:tcW w:w="7246" w:type="dxa"/>
          </w:tcPr>
          <w:p w14:paraId="50EBDA69" w14:textId="77777777" w:rsidR="001D0CB2" w:rsidRDefault="00E27FE2">
            <w:r>
              <w:t xml:space="preserve">Jemand, der direkt oder indirekt identifiziert werden kann, insbesondere über die Referenz zu einer Identifizierungsnummer oder zu einem oder mehreren Kennzeichen, die bezüglich seiner körperlichen, physiologischen, geistigen, ökonomischen, kulturellen oder sozialen Identität spezifisch </w:t>
            </w:r>
            <w:r w:rsidRPr="00F215B1">
              <w:t>sind</w:t>
            </w:r>
          </w:p>
          <w:p w14:paraId="0326C6CA" w14:textId="77777777" w:rsidR="001D0CB2" w:rsidRDefault="00E27FE2">
            <w:r>
              <w:t>(Quelle: DIN EN ISO 25237)</w:t>
            </w:r>
          </w:p>
        </w:tc>
      </w:tr>
      <w:tr w:rsidR="001D0CB2" w14:paraId="5BD6CA7D" w14:textId="77777777">
        <w:tc>
          <w:tcPr>
            <w:tcW w:w="2360" w:type="dxa"/>
          </w:tcPr>
          <w:p w14:paraId="2D89FF7D" w14:textId="77777777" w:rsidR="001D0CB2" w:rsidRDefault="00E27FE2">
            <w:pPr>
              <w:jc w:val="left"/>
            </w:pPr>
            <w:r>
              <w:t>Identifizierung</w:t>
            </w:r>
          </w:p>
        </w:tc>
        <w:tc>
          <w:tcPr>
            <w:tcW w:w="7246" w:type="dxa"/>
          </w:tcPr>
          <w:p w14:paraId="221B1747" w14:textId="77777777" w:rsidR="001D0CB2" w:rsidRDefault="00E27FE2">
            <w:r>
              <w:t xml:space="preserve">Prozess der Nutzung von behaupteten oder beobachteten Attributen einer juristischen Person mit dem Ziel, diese aus den anderen juristischen Personen in einer Reihe von Identitäten </w:t>
            </w:r>
            <w:r w:rsidRPr="00F215B1">
              <w:t>herauszufinden</w:t>
            </w:r>
          </w:p>
          <w:p w14:paraId="0458C052" w14:textId="77777777" w:rsidR="001D0CB2" w:rsidRDefault="00E27FE2">
            <w:r>
              <w:t>(Quelle: DIN EN ISO 25237)</w:t>
            </w:r>
          </w:p>
        </w:tc>
      </w:tr>
      <w:tr w:rsidR="001D0CB2" w14:paraId="1A66C9A8" w14:textId="77777777">
        <w:tc>
          <w:tcPr>
            <w:tcW w:w="2360" w:type="dxa"/>
          </w:tcPr>
          <w:p w14:paraId="5A23048C" w14:textId="77777777" w:rsidR="001D0CB2" w:rsidRDefault="00E27FE2">
            <w:pPr>
              <w:jc w:val="left"/>
            </w:pPr>
            <w:r>
              <w:t>Normadressat</w:t>
            </w:r>
          </w:p>
        </w:tc>
        <w:tc>
          <w:tcPr>
            <w:tcW w:w="7246" w:type="dxa"/>
          </w:tcPr>
          <w:p w14:paraId="0C725D02" w14:textId="77777777" w:rsidR="001D0CB2" w:rsidRDefault="00E27FE2">
            <w:r>
              <w:t xml:space="preserve">Rechtssubjekt (z. B. natürliche Person, juristische Person, Personenvereinigung), an die sich die Regelung eines Gesetzes (= einer Norm) </w:t>
            </w:r>
            <w:r w:rsidRPr="00F215B1">
              <w:t>richtet</w:t>
            </w:r>
          </w:p>
        </w:tc>
      </w:tr>
      <w:tr w:rsidR="001D0CB2" w14:paraId="517A6A3C" w14:textId="77777777">
        <w:tc>
          <w:tcPr>
            <w:tcW w:w="2360" w:type="dxa"/>
          </w:tcPr>
          <w:p w14:paraId="7452E0C9" w14:textId="77777777" w:rsidR="001D0CB2" w:rsidRDefault="00E27FE2">
            <w:pPr>
              <w:jc w:val="left"/>
            </w:pPr>
            <w:r>
              <w:t>Personenbezeichner</w:t>
            </w:r>
          </w:p>
        </w:tc>
        <w:tc>
          <w:tcPr>
            <w:tcW w:w="7246" w:type="dxa"/>
          </w:tcPr>
          <w:p w14:paraId="2A86660C" w14:textId="77777777" w:rsidR="001D0CB2" w:rsidRDefault="00E27FE2">
            <w:r>
              <w:t xml:space="preserve">Informationen, deren Zweck darin besteht, eine Person innerhalb eines bestimmten Kontexts eindeutig zu </w:t>
            </w:r>
            <w:r w:rsidRPr="00F215B1">
              <w:t>identifizieren</w:t>
            </w:r>
          </w:p>
          <w:p w14:paraId="0105AAE9" w14:textId="77777777" w:rsidR="001D0CB2" w:rsidRDefault="00E27FE2">
            <w:r>
              <w:t>(Quelle: DIN EN ISO 25237)</w:t>
            </w:r>
          </w:p>
        </w:tc>
      </w:tr>
      <w:tr w:rsidR="001D0CB2" w14:paraId="44301D18" w14:textId="77777777">
        <w:tc>
          <w:tcPr>
            <w:tcW w:w="2360" w:type="dxa"/>
          </w:tcPr>
          <w:p w14:paraId="604A6579" w14:textId="77777777" w:rsidR="001D0CB2" w:rsidRDefault="00E27FE2">
            <w:pPr>
              <w:jc w:val="left"/>
            </w:pPr>
            <w:r>
              <w:t>Personenidentifizierung</w:t>
            </w:r>
          </w:p>
        </w:tc>
        <w:tc>
          <w:tcPr>
            <w:tcW w:w="7246" w:type="dxa"/>
          </w:tcPr>
          <w:p w14:paraId="2123CAEB" w14:textId="77777777" w:rsidR="001D0CB2" w:rsidRDefault="00E27FE2">
            <w:r>
              <w:t>Prozess der Aufstellung einer Verbindung zwischen einem Informationsobjekt und einer physischen Person</w:t>
            </w:r>
          </w:p>
          <w:p w14:paraId="752C6BCA" w14:textId="77777777" w:rsidR="001D0CB2" w:rsidRDefault="00E27FE2">
            <w:r>
              <w:t>(Quelle: DIN EN ISO 25237)</w:t>
            </w:r>
          </w:p>
        </w:tc>
      </w:tr>
      <w:tr w:rsidR="001D0CB2" w14:paraId="0492B677" w14:textId="77777777">
        <w:tc>
          <w:tcPr>
            <w:tcW w:w="2360" w:type="dxa"/>
          </w:tcPr>
          <w:p w14:paraId="04D8ED2D" w14:textId="77777777" w:rsidR="001D0CB2" w:rsidRDefault="00E27FE2">
            <w:pPr>
              <w:jc w:val="left"/>
            </w:pPr>
            <w:r>
              <w:t>Pseudonym</w:t>
            </w:r>
          </w:p>
        </w:tc>
        <w:tc>
          <w:tcPr>
            <w:tcW w:w="7246" w:type="dxa"/>
          </w:tcPr>
          <w:p w14:paraId="110F8774" w14:textId="77777777" w:rsidR="001D0CB2" w:rsidRDefault="00E27FE2">
            <w:r>
              <w:t xml:space="preserve">Personenbezeichner, der sich vom üblicherweise verwendeten Personenbezeichner unterscheidet und mit </w:t>
            </w:r>
            <w:r w:rsidRPr="006C6D59">
              <w:t>pseudonymisierten</w:t>
            </w:r>
            <w:r>
              <w:t xml:space="preserve"> Daten verwendet wird, um für Kohärenz innerhalb des Datensatzes zu sorgen, die alle Informationen über die betroffene Person miteinander verknüpft, ohne die Identität dieser Person in der realen Welt </w:t>
            </w:r>
            <w:r w:rsidRPr="00F215B1">
              <w:t>offenzulegen</w:t>
            </w:r>
          </w:p>
          <w:p w14:paraId="1BCC3825" w14:textId="77777777" w:rsidR="001D0CB2" w:rsidRDefault="00E27FE2">
            <w:r>
              <w:t>(Quelle: DIN EN ISO 25237)</w:t>
            </w:r>
          </w:p>
        </w:tc>
      </w:tr>
      <w:tr w:rsidR="001D0CB2" w14:paraId="181C3FE7" w14:textId="77777777">
        <w:tc>
          <w:tcPr>
            <w:tcW w:w="2360" w:type="dxa"/>
          </w:tcPr>
          <w:p w14:paraId="0B6EB09A" w14:textId="77777777" w:rsidR="001D0CB2" w:rsidRDefault="00E27FE2">
            <w:pPr>
              <w:jc w:val="left"/>
            </w:pPr>
            <w:r>
              <w:t>Pseudonymisierung</w:t>
            </w:r>
          </w:p>
        </w:tc>
        <w:tc>
          <w:tcPr>
            <w:tcW w:w="7246" w:type="dxa"/>
          </w:tcPr>
          <w:p w14:paraId="3079AE5B" w14:textId="77777777" w:rsidR="001D0CB2" w:rsidRDefault="00E27FE2">
            <w:r>
              <w:t>„</w:t>
            </w:r>
            <w:r>
              <w:sym w:font="Symbol" w:char="F0A2"/>
            </w:r>
            <w:r>
              <w:t>Pseudonymisierung</w:t>
            </w:r>
            <w:r w:rsidRPr="00F215B1">
              <w:sym w:font="Symbol" w:char="F0A2"/>
            </w:r>
            <w:r w:rsidRPr="00F215B1">
              <w:t xml:space="preserve"> die</w:t>
            </w:r>
            <w:r>
              <w:t xml:space="preserv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F215B1">
              <w:t>“</w:t>
            </w:r>
          </w:p>
          <w:p w14:paraId="4722AB8E" w14:textId="77777777" w:rsidR="001D0CB2" w:rsidRDefault="00E27FE2">
            <w:r>
              <w:t xml:space="preserve">(Quelle: Art. 4 </w:t>
            </w:r>
            <w:r w:rsidRPr="006C6D59">
              <w:t>Ziff</w:t>
            </w:r>
            <w:r>
              <w:t>. 5 DS-GVO)</w:t>
            </w:r>
          </w:p>
        </w:tc>
      </w:tr>
      <w:tr w:rsidR="001D0CB2" w14:paraId="7FD0744E" w14:textId="77777777">
        <w:tc>
          <w:tcPr>
            <w:tcW w:w="2360" w:type="dxa"/>
          </w:tcPr>
          <w:p w14:paraId="0ECC482E" w14:textId="77777777" w:rsidR="001D0CB2" w:rsidRDefault="00E27FE2">
            <w:pPr>
              <w:jc w:val="left"/>
            </w:pPr>
            <w:r>
              <w:t>Re-Identifikation</w:t>
            </w:r>
          </w:p>
        </w:tc>
        <w:tc>
          <w:tcPr>
            <w:tcW w:w="7246" w:type="dxa"/>
          </w:tcPr>
          <w:p w14:paraId="4DF9B638" w14:textId="77777777" w:rsidR="001D0CB2" w:rsidRDefault="00E27FE2">
            <w:r>
              <w:t xml:space="preserve">(Gezielte) Aufhebung einer zuvor durchgeführten Pseudonymisierung oder Anonymisierung von Daten </w:t>
            </w:r>
          </w:p>
        </w:tc>
      </w:tr>
      <w:tr w:rsidR="001D0CB2" w14:paraId="71FDA1E2" w14:textId="77777777">
        <w:tc>
          <w:tcPr>
            <w:tcW w:w="2360" w:type="dxa"/>
          </w:tcPr>
          <w:p w14:paraId="7B0ADF1A" w14:textId="77777777" w:rsidR="001D0CB2" w:rsidRDefault="00E27FE2">
            <w:pPr>
              <w:jc w:val="left"/>
            </w:pPr>
            <w:r w:rsidRPr="006C6D59">
              <w:t>Salt</w:t>
            </w:r>
          </w:p>
        </w:tc>
        <w:tc>
          <w:tcPr>
            <w:tcW w:w="7246" w:type="dxa"/>
          </w:tcPr>
          <w:p w14:paraId="6B1DD191" w14:textId="77777777" w:rsidR="001D0CB2" w:rsidRDefault="00E27FE2">
            <w:r>
              <w:t xml:space="preserve">Zufällig gewählte Zeichenfolge, die an einen gegebenen Klartext vor der Verwendung als Eingabe einer Hashfunktion angehängt </w:t>
            </w:r>
            <w:r w:rsidRPr="00F215B1">
              <w:t>wird</w:t>
            </w:r>
          </w:p>
        </w:tc>
      </w:tr>
      <w:tr w:rsidR="001D0CB2" w14:paraId="22E550F7" w14:textId="77777777">
        <w:tc>
          <w:tcPr>
            <w:tcW w:w="2360" w:type="dxa"/>
          </w:tcPr>
          <w:p w14:paraId="2A383ED5" w14:textId="77777777" w:rsidR="001D0CB2" w:rsidRDefault="00E27FE2">
            <w:pPr>
              <w:jc w:val="left"/>
            </w:pPr>
            <w:r>
              <w:t>Unumkehrbarkeit</w:t>
            </w:r>
          </w:p>
        </w:tc>
        <w:tc>
          <w:tcPr>
            <w:tcW w:w="7246" w:type="dxa"/>
          </w:tcPr>
          <w:p w14:paraId="4ACF423A" w14:textId="77777777" w:rsidR="001D0CB2" w:rsidRDefault="00E27FE2">
            <w:r>
              <w:t xml:space="preserve">Situation, in der es für einen beliebigen Übergang von identifizierbar zu pseudonym rechentechnisch unmöglich ist, vom Pseudonym auf den ursprünglichen Bezeichner zu </w:t>
            </w:r>
            <w:r w:rsidRPr="00F215B1">
              <w:t>schließen</w:t>
            </w:r>
          </w:p>
          <w:p w14:paraId="0C2C848A" w14:textId="77777777" w:rsidR="001D0CB2" w:rsidRDefault="00E27FE2">
            <w:r>
              <w:t>(Quelle: DIN EN ISO 25237)</w:t>
            </w:r>
          </w:p>
        </w:tc>
      </w:tr>
    </w:tbl>
    <w:p w14:paraId="525FDB5C" w14:textId="77777777" w:rsidR="001D0CB2" w:rsidRDefault="00E27FE2">
      <w:r>
        <w:br w:type="page"/>
      </w:r>
    </w:p>
    <w:tbl>
      <w:tblPr>
        <w:tblStyle w:val="Tabellenraster"/>
        <w:tblW w:w="9606" w:type="dxa"/>
        <w:tblLayout w:type="fixed"/>
        <w:tblLook w:val="04A0" w:firstRow="1" w:lastRow="0" w:firstColumn="1" w:lastColumn="0" w:noHBand="0" w:noVBand="1"/>
      </w:tblPr>
      <w:tblGrid>
        <w:gridCol w:w="2360"/>
        <w:gridCol w:w="7246"/>
      </w:tblGrid>
      <w:tr w:rsidR="001D0CB2" w14:paraId="59CE923A" w14:textId="77777777">
        <w:tc>
          <w:tcPr>
            <w:tcW w:w="2360" w:type="dxa"/>
          </w:tcPr>
          <w:p w14:paraId="426F4B23" w14:textId="77777777" w:rsidR="001D0CB2" w:rsidRDefault="00E27FE2">
            <w:pPr>
              <w:jc w:val="left"/>
            </w:pPr>
            <w:r>
              <w:lastRenderedPageBreak/>
              <w:t>Verantwortlicher</w:t>
            </w:r>
          </w:p>
        </w:tc>
        <w:tc>
          <w:tcPr>
            <w:tcW w:w="7246" w:type="dxa"/>
          </w:tcPr>
          <w:p w14:paraId="42A25B13" w14:textId="77777777" w:rsidR="001D0CB2" w:rsidRDefault="00E27FE2">
            <w:r>
              <w:t>„</w:t>
            </w:r>
            <w:r>
              <w:sym w:font="Symbol" w:char="F0A2"/>
            </w:r>
            <w:r>
              <w:t>Verantwortlicher</w:t>
            </w:r>
            <w:r w:rsidRPr="00F215B1">
              <w:sym w:font="Symbol" w:char="F0A2"/>
            </w:r>
            <w:r w:rsidRPr="00F215B1">
              <w:t xml:space="preserve"> die</w:t>
            </w:r>
            <w:r>
              <w:t xml:space="preserv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r w:rsidRPr="00F215B1">
              <w:t>“</w:t>
            </w:r>
          </w:p>
          <w:p w14:paraId="698CCE2D" w14:textId="77777777" w:rsidR="001D0CB2" w:rsidRDefault="00E27FE2">
            <w:r>
              <w:t xml:space="preserve">(Quelle: Art. 4 </w:t>
            </w:r>
            <w:r w:rsidRPr="006C6D59">
              <w:t>Ziff</w:t>
            </w:r>
            <w:r>
              <w:t>. 7 DS-GVO)</w:t>
            </w:r>
          </w:p>
        </w:tc>
      </w:tr>
      <w:tr w:rsidR="001D0CB2" w14:paraId="52663C5F" w14:textId="77777777">
        <w:tc>
          <w:tcPr>
            <w:tcW w:w="2360" w:type="dxa"/>
          </w:tcPr>
          <w:p w14:paraId="64CC9AE7" w14:textId="77777777" w:rsidR="001D0CB2" w:rsidRDefault="00E27FE2">
            <w:pPr>
              <w:jc w:val="left"/>
            </w:pPr>
            <w:r>
              <w:t>Verarbeitung</w:t>
            </w:r>
          </w:p>
        </w:tc>
        <w:tc>
          <w:tcPr>
            <w:tcW w:w="7246" w:type="dxa"/>
          </w:tcPr>
          <w:p w14:paraId="185F75F9" w14:textId="77777777" w:rsidR="001D0CB2" w:rsidRDefault="00E27FE2">
            <w:r>
              <w:t>„</w:t>
            </w:r>
            <w:r>
              <w:sym w:font="Symbol" w:char="F0A2"/>
            </w:r>
            <w:r>
              <w:t>Verarbeitung</w:t>
            </w:r>
            <w:r w:rsidRPr="00F215B1">
              <w:sym w:font="Symbol" w:char="F0A2"/>
            </w:r>
            <w:r w:rsidRPr="00F215B1">
              <w:t xml:space="preserve"> jeden</w:t>
            </w:r>
            <w:r>
              <w:t xml:space="preserve">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213D9412" w14:textId="77777777" w:rsidR="001D0CB2" w:rsidRDefault="00E27FE2">
            <w:r>
              <w:t xml:space="preserve">(Quelle: Art. 4 </w:t>
            </w:r>
            <w:r w:rsidRPr="006C6D59">
              <w:t>Ziff</w:t>
            </w:r>
            <w:r>
              <w:t>. 2 DS-GVO)</w:t>
            </w:r>
          </w:p>
        </w:tc>
      </w:tr>
      <w:tr w:rsidR="001D0CB2" w14:paraId="0964B2A9" w14:textId="77777777">
        <w:tc>
          <w:tcPr>
            <w:tcW w:w="2360" w:type="dxa"/>
          </w:tcPr>
          <w:p w14:paraId="3726ED71" w14:textId="77777777" w:rsidR="001D0CB2" w:rsidRDefault="00E27FE2">
            <w:pPr>
              <w:jc w:val="left"/>
            </w:pPr>
            <w:r>
              <w:t>Verknüpfung von Informationsobjekten</w:t>
            </w:r>
          </w:p>
        </w:tc>
        <w:tc>
          <w:tcPr>
            <w:tcW w:w="7246" w:type="dxa"/>
          </w:tcPr>
          <w:p w14:paraId="6B6FD539" w14:textId="77777777" w:rsidR="001D0CB2" w:rsidRDefault="00E27FE2">
            <w:r>
              <w:t>Prozess, der die Aufstellung einer logischen Verbindung zwischen verschiedenen Informationsobjekten</w:t>
            </w:r>
          </w:p>
          <w:p w14:paraId="3C53EF5B" w14:textId="77777777" w:rsidR="001D0CB2" w:rsidRDefault="00E27FE2">
            <w:r w:rsidRPr="00F215B1">
              <w:t>ermöglicht</w:t>
            </w:r>
          </w:p>
          <w:p w14:paraId="7B125570" w14:textId="77777777" w:rsidR="001D0CB2" w:rsidRDefault="00E27FE2">
            <w:r>
              <w:t>(Quelle: DIN EN ISO 25237)</w:t>
            </w:r>
          </w:p>
        </w:tc>
      </w:tr>
    </w:tbl>
    <w:p w14:paraId="7726B25E" w14:textId="77777777" w:rsidR="001D0CB2" w:rsidRDefault="001D0CB2"/>
    <w:p w14:paraId="62AB54ED" w14:textId="77777777" w:rsidR="001D0CB2" w:rsidRDefault="00E27FE2">
      <w:pPr>
        <w:jc w:val="left"/>
        <w:rPr>
          <w:rFonts w:asciiTheme="majorHAnsi" w:eastAsiaTheme="majorEastAsia" w:hAnsiTheme="majorHAnsi" w:cstheme="majorBidi"/>
          <w:b/>
          <w:bCs/>
          <w:color w:val="365F91" w:themeColor="accent1" w:themeShade="BF"/>
          <w:sz w:val="28"/>
          <w:szCs w:val="28"/>
        </w:rPr>
      </w:pPr>
      <w:r>
        <w:br w:type="page"/>
      </w:r>
    </w:p>
    <w:p w14:paraId="61E5EBC0" w14:textId="77777777" w:rsidR="001D0CB2" w:rsidRDefault="00E27FE2">
      <w:pPr>
        <w:pStyle w:val="berschrift1"/>
      </w:pPr>
      <w:bookmarkStart w:id="128" w:name="_Toc517507994"/>
      <w:r>
        <w:lastRenderedPageBreak/>
        <w:t>Literatur</w:t>
      </w:r>
      <w:bookmarkEnd w:id="128"/>
    </w:p>
    <w:p w14:paraId="4C9214EB" w14:textId="77777777" w:rsidR="001D0CB2" w:rsidRDefault="00E27FE2">
      <w:pPr>
        <w:pStyle w:val="berschrift2"/>
      </w:pPr>
      <w:bookmarkStart w:id="129" w:name="_Toc517507995"/>
      <w:r>
        <w:t>Bücher</w:t>
      </w:r>
      <w:bookmarkEnd w:id="129"/>
    </w:p>
    <w:p w14:paraId="1B3951FE" w14:textId="77777777" w:rsidR="001D0CB2" w:rsidRDefault="00E27FE2">
      <w:pPr>
        <w:pStyle w:val="Listenabsatz"/>
        <w:numPr>
          <w:ilvl w:val="0"/>
          <w:numId w:val="7"/>
        </w:numPr>
      </w:pPr>
      <w:r>
        <w:t xml:space="preserve">Berberich O. </w:t>
      </w:r>
      <w:proofErr w:type="spellStart"/>
      <w:r w:rsidRPr="00F215B1">
        <w:t>Trusted</w:t>
      </w:r>
      <w:proofErr w:type="spellEnd"/>
      <w:r>
        <w:t xml:space="preserve"> Web 4.0 – Konzepte einer digitalen Gesellschaft: Konzepte der Dezentralisierung und Anonymisierung. Springer </w:t>
      </w:r>
      <w:r w:rsidRPr="00F215B1">
        <w:t>Vieweg</w:t>
      </w:r>
      <w:r>
        <w:t>, 1. Auflage 2016. ISBN 978-3-662-49189-8</w:t>
      </w:r>
    </w:p>
    <w:p w14:paraId="010B2FDB" w14:textId="77777777" w:rsidR="001D0CB2" w:rsidRDefault="00E27FE2">
      <w:pPr>
        <w:pStyle w:val="Listenabsatz"/>
        <w:numPr>
          <w:ilvl w:val="0"/>
          <w:numId w:val="7"/>
        </w:numPr>
      </w:pPr>
      <w:r w:rsidRPr="00271C2A">
        <w:t xml:space="preserve">Khaled </w:t>
      </w:r>
      <w:proofErr w:type="spellStart"/>
      <w:r w:rsidRPr="00271C2A">
        <w:t>El</w:t>
      </w:r>
      <w:proofErr w:type="spellEnd"/>
      <w:r w:rsidRPr="00271C2A">
        <w:t xml:space="preserve"> </w:t>
      </w:r>
      <w:proofErr w:type="spellStart"/>
      <w:r w:rsidRPr="006C6D59">
        <w:t>Emam</w:t>
      </w:r>
      <w:proofErr w:type="spellEnd"/>
      <w:r w:rsidRPr="00271C2A">
        <w:t xml:space="preserve"> / Luk </w:t>
      </w:r>
      <w:proofErr w:type="spellStart"/>
      <w:r w:rsidRPr="00F215B1">
        <w:t>Arbuckle</w:t>
      </w:r>
      <w:proofErr w:type="spellEnd"/>
      <w:r w:rsidRPr="00271C2A">
        <w:t xml:space="preserve">. </w:t>
      </w:r>
      <w:proofErr w:type="spellStart"/>
      <w:r w:rsidRPr="00F215B1">
        <w:t>Anonymizing</w:t>
      </w:r>
      <w:proofErr w:type="spellEnd"/>
      <w:r w:rsidRPr="00F215B1">
        <w:t xml:space="preserve"> </w:t>
      </w:r>
      <w:proofErr w:type="spellStart"/>
      <w:r w:rsidRPr="00F215B1">
        <w:t>Health</w:t>
      </w:r>
      <w:proofErr w:type="spellEnd"/>
      <w:r w:rsidRPr="00F215B1">
        <w:t xml:space="preserve"> Data. </w:t>
      </w:r>
      <w:proofErr w:type="spellStart"/>
      <w:r>
        <w:t>O’Reilly</w:t>
      </w:r>
      <w:proofErr w:type="spellEnd"/>
      <w:r>
        <w:t xml:space="preserve"> Media, Inc., 1. Auflage 2014. ISBN 9781449363079</w:t>
      </w:r>
    </w:p>
    <w:p w14:paraId="253788FA" w14:textId="77777777" w:rsidR="001D0CB2" w:rsidRDefault="00E27FE2">
      <w:pPr>
        <w:pStyle w:val="berschrift2"/>
      </w:pPr>
      <w:bookmarkStart w:id="130" w:name="_Toc517507996"/>
      <w:r>
        <w:t>Online</w:t>
      </w:r>
      <w:bookmarkEnd w:id="130"/>
    </w:p>
    <w:p w14:paraId="5E8E9CEF" w14:textId="77777777" w:rsidR="001D0CB2" w:rsidRDefault="00E27FE2">
      <w:pPr>
        <w:pStyle w:val="Listenabsatz"/>
        <w:numPr>
          <w:ilvl w:val="0"/>
          <w:numId w:val="7"/>
        </w:numPr>
      </w:pPr>
      <w:r w:rsidRPr="006C6D59">
        <w:t>DICOM</w:t>
      </w:r>
      <w:r w:rsidRPr="00271C2A">
        <w:t xml:space="preserve"> Standard – Supplement 142 </w:t>
      </w:r>
      <w:r w:rsidRPr="00F215B1">
        <w:t>Clinical</w:t>
      </w:r>
      <w:r w:rsidRPr="00271C2A">
        <w:t xml:space="preserve"> Trial </w:t>
      </w:r>
      <w:r w:rsidRPr="006C6D59">
        <w:t>De-</w:t>
      </w:r>
      <w:proofErr w:type="spellStart"/>
      <w:r w:rsidRPr="006C6D59">
        <w:t>identification</w:t>
      </w:r>
      <w:proofErr w:type="spellEnd"/>
      <w:r w:rsidRPr="00271C2A">
        <w:t xml:space="preserve"> </w:t>
      </w:r>
      <w:proofErr w:type="spellStart"/>
      <w:r w:rsidRPr="00271C2A">
        <w:t>Profiles</w:t>
      </w:r>
      <w:proofErr w:type="spellEnd"/>
      <w:r w:rsidRPr="00271C2A">
        <w:t xml:space="preserve"> (Stand 2009</w:t>
      </w:r>
      <w:r w:rsidRPr="00F215B1">
        <w:t>) ).</w:t>
      </w:r>
      <w:r w:rsidRPr="00271C2A">
        <w:t xml:space="preserve"> </w:t>
      </w:r>
      <w:r>
        <w:t>[</w:t>
      </w:r>
      <w:r w:rsidRPr="00F215B1">
        <w:t>Online</w:t>
      </w:r>
      <w:r>
        <w:t xml:space="preserve">, zitiert am 2018-05-16]; </w:t>
      </w:r>
      <w:r w:rsidRPr="00F215B1">
        <w:t>Verfügbar</w:t>
      </w:r>
      <w:r>
        <w:t xml:space="preserve"> unter </w:t>
      </w:r>
      <w:hyperlink r:id="rId17" w:history="1">
        <w:r w:rsidRPr="006C6D59">
          <w:rPr>
            <w:rStyle w:val="Hyperlink"/>
          </w:rPr>
          <w:t>ftp</w:t>
        </w:r>
        <w:r>
          <w:rPr>
            <w:rStyle w:val="Hyperlink"/>
          </w:rPr>
          <w:t>://</w:t>
        </w:r>
        <w:r w:rsidRPr="00F215B1">
          <w:rPr>
            <w:rStyle w:val="Hyperlink"/>
          </w:rPr>
          <w:t>medical.nema.org</w:t>
        </w:r>
        <w:r>
          <w:rPr>
            <w:rStyle w:val="Hyperlink"/>
          </w:rPr>
          <w:t>/</w:t>
        </w:r>
        <w:r w:rsidRPr="006C6D59">
          <w:rPr>
            <w:rStyle w:val="Hyperlink"/>
          </w:rPr>
          <w:t>medical</w:t>
        </w:r>
        <w:r>
          <w:rPr>
            <w:rStyle w:val="Hyperlink"/>
          </w:rPr>
          <w:t>/</w:t>
        </w:r>
        <w:r w:rsidRPr="00F215B1">
          <w:rPr>
            <w:rStyle w:val="Hyperlink"/>
          </w:rPr>
          <w:t>dicom</w:t>
        </w:r>
        <w:r>
          <w:rPr>
            <w:rStyle w:val="Hyperlink"/>
          </w:rPr>
          <w:t xml:space="preserve">/final/ </w:t>
        </w:r>
        <w:r w:rsidRPr="00F215B1">
          <w:rPr>
            <w:rStyle w:val="Hyperlink"/>
          </w:rPr>
          <w:t>sup142_ft.pdf</w:t>
        </w:r>
      </w:hyperlink>
    </w:p>
    <w:p w14:paraId="2027786C" w14:textId="77777777" w:rsidR="001D0CB2" w:rsidRDefault="00E27FE2">
      <w:pPr>
        <w:pStyle w:val="Listenabsatz"/>
        <w:numPr>
          <w:ilvl w:val="0"/>
          <w:numId w:val="7"/>
        </w:numPr>
      </w:pPr>
      <w:proofErr w:type="spellStart"/>
      <w:r w:rsidRPr="00F215B1">
        <w:t>Garfinkel</w:t>
      </w:r>
      <w:proofErr w:type="spellEnd"/>
      <w:r w:rsidRPr="00271C2A">
        <w:t xml:space="preserve"> S. (2015) </w:t>
      </w:r>
      <w:r w:rsidRPr="006C6D59">
        <w:t>De-</w:t>
      </w:r>
      <w:proofErr w:type="spellStart"/>
      <w:r w:rsidRPr="006C6D59">
        <w:t>Identification</w:t>
      </w:r>
      <w:proofErr w:type="spellEnd"/>
      <w:r w:rsidRPr="00271C2A">
        <w:t xml:space="preserve"> </w:t>
      </w:r>
      <w:proofErr w:type="spellStart"/>
      <w:r w:rsidRPr="00271C2A">
        <w:t>of</w:t>
      </w:r>
      <w:proofErr w:type="spellEnd"/>
      <w:r w:rsidRPr="00271C2A">
        <w:t xml:space="preserve"> Personal Information. </w:t>
      </w:r>
      <w:r>
        <w:t>[</w:t>
      </w:r>
      <w:r w:rsidRPr="00F215B1">
        <w:t>Online</w:t>
      </w:r>
      <w:r>
        <w:t xml:space="preserve">, zitiert am 2018-04-24]; </w:t>
      </w:r>
      <w:r w:rsidRPr="00F215B1">
        <w:t>Verfügbar</w:t>
      </w:r>
      <w:r>
        <w:t xml:space="preserve"> unter </w:t>
      </w:r>
      <w:hyperlink r:id="rId18" w:history="1">
        <w:r w:rsidRPr="00F215B1">
          <w:rPr>
            <w:rStyle w:val="Hyperlink"/>
          </w:rPr>
          <w:t>https://nvlpubs.nist.gov/nistpubs/ir/2015/NIST.IR.8053.pdf</w:t>
        </w:r>
      </w:hyperlink>
    </w:p>
    <w:p w14:paraId="25437F22" w14:textId="77777777" w:rsidR="001D0CB2" w:rsidRDefault="00E27FE2">
      <w:pPr>
        <w:pStyle w:val="Listenabsatz"/>
        <w:numPr>
          <w:ilvl w:val="0"/>
          <w:numId w:val="7"/>
        </w:numPr>
      </w:pPr>
      <w:proofErr w:type="spellStart"/>
      <w:r w:rsidRPr="006C6D59">
        <w:t>Hochfellner</w:t>
      </w:r>
      <w:proofErr w:type="spellEnd"/>
      <w:r>
        <w:t xml:space="preserve"> </w:t>
      </w:r>
      <w:r w:rsidRPr="006C6D59">
        <w:t>et al.</w:t>
      </w:r>
      <w:r>
        <w:t xml:space="preserve"> (2012) </w:t>
      </w:r>
      <w:r w:rsidRPr="006C6D59">
        <w:t>FDZ-Methodenreporte</w:t>
      </w:r>
      <w:r>
        <w:t>: Datenschutz am Forschungsdatenzentrum. (Hrsg.: Bundesagentur für Arbeit) [</w:t>
      </w:r>
      <w:r w:rsidRPr="00F215B1">
        <w:t>Online</w:t>
      </w:r>
      <w:r>
        <w:t xml:space="preserve">, zitiert am 2018-04-24]; </w:t>
      </w:r>
      <w:r w:rsidRPr="00F215B1">
        <w:t>Verfügbar</w:t>
      </w:r>
      <w:r>
        <w:t xml:space="preserve"> unter </w:t>
      </w:r>
      <w:hyperlink r:id="rId19" w:history="1">
        <w:r>
          <w:rPr>
            <w:rStyle w:val="Hyperlink"/>
          </w:rPr>
          <w:t>http://doku.iab.de/fdz/reporte/ 2012/</w:t>
        </w:r>
        <w:r w:rsidRPr="006C6D59">
          <w:rPr>
            <w:rStyle w:val="Hyperlink"/>
          </w:rPr>
          <w:t>MR_06-12.pdf</w:t>
        </w:r>
      </w:hyperlink>
    </w:p>
    <w:p w14:paraId="29710229" w14:textId="0B019E38" w:rsidR="001D0CB2" w:rsidRDefault="00E27FE2">
      <w:pPr>
        <w:pStyle w:val="Listenabsatz"/>
        <w:numPr>
          <w:ilvl w:val="0"/>
          <w:numId w:val="7"/>
        </w:numPr>
      </w:pPr>
      <w:proofErr w:type="spellStart"/>
      <w:r w:rsidRPr="00F215B1">
        <w:t>Integrating</w:t>
      </w:r>
      <w:proofErr w:type="spellEnd"/>
      <w:r w:rsidRPr="00271C2A">
        <w:t xml:space="preserve"> </w:t>
      </w:r>
      <w:proofErr w:type="spellStart"/>
      <w:r w:rsidRPr="00F215B1">
        <w:t>the</w:t>
      </w:r>
      <w:proofErr w:type="spellEnd"/>
      <w:r w:rsidRPr="00271C2A">
        <w:t xml:space="preserve"> </w:t>
      </w:r>
      <w:r w:rsidRPr="006C6D59">
        <w:t>Healthcare</w:t>
      </w:r>
      <w:r w:rsidRPr="00271C2A">
        <w:t xml:space="preserve"> Enterprise (</w:t>
      </w:r>
      <w:r w:rsidRPr="00F215B1">
        <w:t>IHE</w:t>
      </w:r>
      <w:r w:rsidRPr="00271C2A">
        <w:t xml:space="preserve">), Domain „IT </w:t>
      </w:r>
      <w:r w:rsidRPr="00F215B1">
        <w:t>Infrastructure</w:t>
      </w:r>
      <w:r w:rsidRPr="00271C2A">
        <w:t>“ (</w:t>
      </w:r>
      <w:r w:rsidRPr="00F215B1">
        <w:t>ITI</w:t>
      </w:r>
      <w:r w:rsidRPr="00271C2A">
        <w:t xml:space="preserve">): </w:t>
      </w:r>
      <w:proofErr w:type="spellStart"/>
      <w:r w:rsidRPr="00F215B1">
        <w:t>nalysis</w:t>
      </w:r>
      <w:proofErr w:type="spellEnd"/>
      <w:r w:rsidRPr="00271C2A">
        <w:t xml:space="preserve"> </w:t>
      </w:r>
      <w:proofErr w:type="spellStart"/>
      <w:r w:rsidRPr="00271C2A">
        <w:t>of</w:t>
      </w:r>
      <w:proofErr w:type="spellEnd"/>
      <w:r w:rsidRPr="00271C2A">
        <w:t xml:space="preserve"> </w:t>
      </w:r>
      <w:r w:rsidRPr="00F215B1">
        <w:t>Optimal</w:t>
      </w:r>
      <w:r w:rsidRPr="00271C2A">
        <w:t xml:space="preserve"> </w:t>
      </w:r>
      <w:r w:rsidRPr="006C6D59">
        <w:t>De-</w:t>
      </w:r>
      <w:proofErr w:type="spellStart"/>
      <w:r w:rsidRPr="006C6D59">
        <w:t>Identification</w:t>
      </w:r>
      <w:proofErr w:type="spellEnd"/>
      <w:r w:rsidRPr="00271C2A">
        <w:t xml:space="preserve"> </w:t>
      </w:r>
      <w:proofErr w:type="spellStart"/>
      <w:r w:rsidRPr="00F215B1">
        <w:t>Algorithms</w:t>
      </w:r>
      <w:proofErr w:type="spellEnd"/>
      <w:r w:rsidRPr="00271C2A">
        <w:t xml:space="preserve"> </w:t>
      </w:r>
      <w:proofErr w:type="spellStart"/>
      <w:r w:rsidRPr="006C6D59">
        <w:t>for</w:t>
      </w:r>
      <w:proofErr w:type="spellEnd"/>
      <w:r w:rsidRPr="00271C2A">
        <w:t xml:space="preserve"> Family </w:t>
      </w:r>
      <w:proofErr w:type="spellStart"/>
      <w:r w:rsidRPr="006C6D59">
        <w:t>Planning</w:t>
      </w:r>
      <w:proofErr w:type="spellEnd"/>
      <w:r w:rsidRPr="00271C2A">
        <w:t xml:space="preserve"> Data Elements (Stand 2016-12-02). </w:t>
      </w:r>
      <w:r>
        <w:t>[</w:t>
      </w:r>
      <w:r w:rsidRPr="00F215B1">
        <w:t>Online</w:t>
      </w:r>
      <w:r>
        <w:t xml:space="preserve">, zitiert am 2018-05-16]; </w:t>
      </w:r>
      <w:r w:rsidRPr="00F215B1">
        <w:t>Verfügbar</w:t>
      </w:r>
      <w:r>
        <w:t xml:space="preserve"> unter </w:t>
      </w:r>
      <w:hyperlink r:id="rId20" w:history="1">
        <w:r>
          <w:rPr>
            <w:rStyle w:val="Hyperlink"/>
          </w:rPr>
          <w:t xml:space="preserve">http://www.ihe.net/uploadedFiles/Documents/ITI/ </w:t>
        </w:r>
        <w:r w:rsidRPr="00F215B1">
          <w:rPr>
            <w:rStyle w:val="Hyperlink"/>
          </w:rPr>
          <w:t>IHE_ITI_WP_Analysis-of-DeID-Algorithms-for-FP-Data_Elements.pdf</w:t>
        </w:r>
      </w:hyperlink>
    </w:p>
    <w:p w14:paraId="6F6CAB52" w14:textId="77777777" w:rsidR="001D0CB2" w:rsidRDefault="00E27FE2">
      <w:pPr>
        <w:pStyle w:val="Listenabsatz"/>
        <w:numPr>
          <w:ilvl w:val="0"/>
          <w:numId w:val="7"/>
        </w:numPr>
      </w:pPr>
      <w:proofErr w:type="spellStart"/>
      <w:r w:rsidRPr="00F215B1">
        <w:t>Integrating</w:t>
      </w:r>
      <w:proofErr w:type="spellEnd"/>
      <w:r w:rsidRPr="00F215B1">
        <w:t xml:space="preserve"> </w:t>
      </w:r>
      <w:proofErr w:type="spellStart"/>
      <w:r w:rsidRPr="00F215B1">
        <w:t>the</w:t>
      </w:r>
      <w:proofErr w:type="spellEnd"/>
      <w:r w:rsidRPr="00F215B1">
        <w:t xml:space="preserve"> Healthcare Enterprise (IHE), Domain „IT Infrastructure“ (ITI): </w:t>
      </w:r>
      <w:proofErr w:type="spellStart"/>
      <w:r w:rsidRPr="00F215B1">
        <w:t>Algorithm</w:t>
      </w:r>
      <w:proofErr w:type="spellEnd"/>
      <w:r w:rsidRPr="00F215B1">
        <w:t xml:space="preserve"> Mapping Spreadsheet (</w:t>
      </w:r>
      <w:proofErr w:type="spellStart"/>
      <w:r w:rsidRPr="00F215B1">
        <w:t>for</w:t>
      </w:r>
      <w:proofErr w:type="spellEnd"/>
      <w:r w:rsidRPr="00F215B1">
        <w:t xml:space="preserve"> </w:t>
      </w:r>
      <w:proofErr w:type="spellStart"/>
      <w:r w:rsidRPr="00F215B1">
        <w:t>use</w:t>
      </w:r>
      <w:proofErr w:type="spellEnd"/>
      <w:r w:rsidRPr="00F215B1">
        <w:t xml:space="preserve"> </w:t>
      </w:r>
      <w:proofErr w:type="spellStart"/>
      <w:r w:rsidRPr="00F215B1">
        <w:t>with</w:t>
      </w:r>
      <w:proofErr w:type="spellEnd"/>
      <w:r w:rsidRPr="00F215B1">
        <w:t xml:space="preserve"> De-</w:t>
      </w:r>
      <w:proofErr w:type="spellStart"/>
      <w:r w:rsidRPr="00F215B1">
        <w:t>Identification</w:t>
      </w:r>
      <w:proofErr w:type="spellEnd"/>
      <w:r w:rsidRPr="00F215B1">
        <w:t xml:space="preserve"> Handbook) (Stand 2014-06-06). </w:t>
      </w:r>
      <w:r>
        <w:t>[</w:t>
      </w:r>
      <w:r w:rsidRPr="00F215B1">
        <w:t>Online</w:t>
      </w:r>
      <w:r>
        <w:t xml:space="preserve">, zitiert am 2018-05-16]; </w:t>
      </w:r>
      <w:r w:rsidRPr="00F215B1">
        <w:t>Verfügbar</w:t>
      </w:r>
      <w:r>
        <w:t xml:space="preserve"> unter </w:t>
      </w:r>
      <w:hyperlink r:id="rId21" w:history="1">
        <w:r>
          <w:rPr>
            <w:rStyle w:val="Hyperlink"/>
          </w:rPr>
          <w:t xml:space="preserve">http://www.ihe.net/uploadedFiles/Documents/ITI/ </w:t>
        </w:r>
        <w:r w:rsidRPr="00F215B1">
          <w:rPr>
            <w:rStyle w:val="Hyperlink"/>
          </w:rPr>
          <w:t>IHE_ITI_Handbook_De-Identification-Mapping_Rev1.1_2014</w:t>
        </w:r>
        <w:r>
          <w:rPr>
            <w:rStyle w:val="Hyperlink"/>
          </w:rPr>
          <w:t>-06-06</w:t>
        </w:r>
        <w:r w:rsidRPr="00F215B1">
          <w:rPr>
            <w:rStyle w:val="Hyperlink"/>
          </w:rPr>
          <w:t>.xlsx</w:t>
        </w:r>
      </w:hyperlink>
    </w:p>
    <w:p w14:paraId="36F54D1E" w14:textId="77777777" w:rsidR="001D0CB2" w:rsidRPr="00271C2A" w:rsidRDefault="00E27FE2">
      <w:pPr>
        <w:pStyle w:val="Listenabsatz"/>
        <w:numPr>
          <w:ilvl w:val="0"/>
          <w:numId w:val="7"/>
        </w:numPr>
      </w:pPr>
      <w:proofErr w:type="spellStart"/>
      <w:r w:rsidRPr="00F215B1">
        <w:t>Integrating</w:t>
      </w:r>
      <w:proofErr w:type="spellEnd"/>
      <w:r w:rsidRPr="00F215B1">
        <w:t xml:space="preserve"> </w:t>
      </w:r>
      <w:proofErr w:type="spellStart"/>
      <w:r w:rsidRPr="00F215B1">
        <w:t>the</w:t>
      </w:r>
      <w:proofErr w:type="spellEnd"/>
      <w:r w:rsidRPr="00F215B1">
        <w:t xml:space="preserve"> Healthcare Enterprise (IHE), Domain „Quality, Research </w:t>
      </w:r>
      <w:proofErr w:type="spellStart"/>
      <w:r w:rsidRPr="00F215B1">
        <w:t>and</w:t>
      </w:r>
      <w:proofErr w:type="spellEnd"/>
      <w:r w:rsidRPr="00F215B1">
        <w:t xml:space="preserve"> Public </w:t>
      </w:r>
      <w:proofErr w:type="spellStart"/>
      <w:r w:rsidRPr="00F215B1">
        <w:t>Health</w:t>
      </w:r>
      <w:proofErr w:type="spellEnd"/>
      <w:r w:rsidRPr="00F215B1">
        <w:t xml:space="preserve">“ (QRPH): </w:t>
      </w:r>
      <w:proofErr w:type="spellStart"/>
      <w:r w:rsidRPr="00F215B1">
        <w:t>Pseudonymization</w:t>
      </w:r>
      <w:proofErr w:type="spellEnd"/>
      <w:r w:rsidRPr="00F215B1">
        <w:t xml:space="preserve"> White Paper (Stand: 2008-12-22). </w:t>
      </w:r>
      <w:r w:rsidRPr="00271C2A">
        <w:t>[</w:t>
      </w:r>
      <w:r w:rsidRPr="00F215B1">
        <w:t>Online</w:t>
      </w:r>
      <w:r w:rsidRPr="00271C2A">
        <w:t xml:space="preserve">, zitiert am 2018-05-16]; </w:t>
      </w:r>
      <w:r w:rsidRPr="00F215B1">
        <w:t>Verfügbar</w:t>
      </w:r>
      <w:r w:rsidRPr="00271C2A">
        <w:t xml:space="preserve"> unter </w:t>
      </w:r>
      <w:hyperlink r:id="rId22" w:history="1">
        <w:r w:rsidRPr="006C6D59">
          <w:rPr>
            <w:rStyle w:val="Hyperlink"/>
          </w:rPr>
          <w:t>ftp</w:t>
        </w:r>
        <w:r w:rsidRPr="00271C2A">
          <w:rPr>
            <w:rStyle w:val="Hyperlink"/>
          </w:rPr>
          <w:t>://</w:t>
        </w:r>
        <w:r w:rsidRPr="00F215B1">
          <w:rPr>
            <w:rStyle w:val="Hyperlink"/>
          </w:rPr>
          <w:t>ftp.ihe.net</w:t>
        </w:r>
        <w:r w:rsidRPr="00271C2A">
          <w:rPr>
            <w:rStyle w:val="Hyperlink"/>
          </w:rPr>
          <w:t>/</w:t>
        </w:r>
        <w:r w:rsidRPr="00F215B1">
          <w:rPr>
            <w:rStyle w:val="Hyperlink"/>
          </w:rPr>
          <w:t>Quality</w:t>
        </w:r>
        <w:r w:rsidRPr="00271C2A">
          <w:rPr>
            <w:rStyle w:val="Hyperlink"/>
          </w:rPr>
          <w:t>/2009</w:t>
        </w:r>
        <w:r w:rsidRPr="00F215B1">
          <w:rPr>
            <w:rStyle w:val="Hyperlink"/>
          </w:rPr>
          <w:t>_2010_YR_3</w:t>
        </w:r>
        <w:r w:rsidRPr="00271C2A">
          <w:rPr>
            <w:rStyle w:val="Hyperlink"/>
          </w:rPr>
          <w:t>/</w:t>
        </w:r>
        <w:r w:rsidRPr="006C6D59">
          <w:rPr>
            <w:rStyle w:val="Hyperlink"/>
          </w:rPr>
          <w:t>Planning</w:t>
        </w:r>
        <w:r w:rsidRPr="00271C2A">
          <w:rPr>
            <w:rStyle w:val="Hyperlink"/>
          </w:rPr>
          <w:t>/White%</w:t>
        </w:r>
        <w:r w:rsidRPr="00F215B1">
          <w:rPr>
            <w:rStyle w:val="Hyperlink"/>
          </w:rPr>
          <w:t>20papers</w:t>
        </w:r>
        <w:r w:rsidRPr="00271C2A">
          <w:rPr>
            <w:rStyle w:val="Hyperlink"/>
          </w:rPr>
          <w:t>%20</w:t>
        </w:r>
        <w:r w:rsidRPr="00F215B1">
          <w:rPr>
            <w:rStyle w:val="Hyperlink"/>
          </w:rPr>
          <w:t>yr</w:t>
        </w:r>
        <w:r w:rsidRPr="00271C2A">
          <w:rPr>
            <w:rStyle w:val="Hyperlink"/>
          </w:rPr>
          <w:t>% 203/</w:t>
        </w:r>
        <w:r w:rsidRPr="00F215B1">
          <w:rPr>
            <w:rStyle w:val="Hyperlink"/>
          </w:rPr>
          <w:t>Pseudonymisation-WP.doc</w:t>
        </w:r>
      </w:hyperlink>
    </w:p>
    <w:p w14:paraId="7B9C5A20" w14:textId="77777777" w:rsidR="001D0CB2" w:rsidRDefault="00E27FE2">
      <w:pPr>
        <w:pStyle w:val="Listenabsatz"/>
        <w:numPr>
          <w:ilvl w:val="0"/>
          <w:numId w:val="7"/>
        </w:numPr>
      </w:pPr>
      <w:r w:rsidRPr="00271C2A">
        <w:t>Oracle</w:t>
      </w:r>
      <w:r w:rsidRPr="00F215B1">
        <w:t>.(</w:t>
      </w:r>
      <w:r w:rsidRPr="00271C2A">
        <w:t xml:space="preserve">2013) Data </w:t>
      </w:r>
      <w:proofErr w:type="spellStart"/>
      <w:r w:rsidRPr="00F215B1">
        <w:t>Masking</w:t>
      </w:r>
      <w:proofErr w:type="spellEnd"/>
      <w:r w:rsidRPr="00271C2A">
        <w:t xml:space="preserve"> Best Practice. </w:t>
      </w:r>
      <w:r>
        <w:t>[</w:t>
      </w:r>
      <w:r w:rsidRPr="00F215B1">
        <w:t>Online</w:t>
      </w:r>
      <w:r>
        <w:t xml:space="preserve">, zitiert am 2018-04-24]; </w:t>
      </w:r>
      <w:r w:rsidRPr="00F215B1">
        <w:t>Verfügbar</w:t>
      </w:r>
      <w:r>
        <w:t xml:space="preserve"> unter </w:t>
      </w:r>
      <w:r w:rsidRPr="00F215B1">
        <w:t>http://www.oracle.com/us/products/database/data-masking-best-practices-161213.pdf</w:t>
      </w:r>
    </w:p>
    <w:p w14:paraId="383A82D9" w14:textId="77777777" w:rsidR="001D0CB2" w:rsidRDefault="00E27FE2">
      <w:pPr>
        <w:pStyle w:val="Listenabsatz"/>
        <w:numPr>
          <w:ilvl w:val="0"/>
          <w:numId w:val="7"/>
        </w:numPr>
      </w:pPr>
      <w:r>
        <w:t>Statistisches Bundesamt (</w:t>
      </w:r>
      <w:proofErr w:type="spellStart"/>
      <w:r w:rsidRPr="00F215B1">
        <w:t>Destatis</w:t>
      </w:r>
      <w:proofErr w:type="spellEnd"/>
      <w:r>
        <w:t>)</w:t>
      </w:r>
    </w:p>
    <w:p w14:paraId="37BA972C" w14:textId="77777777" w:rsidR="001D0CB2" w:rsidRDefault="00E27FE2">
      <w:pPr>
        <w:pStyle w:val="Listenabsatz"/>
        <w:numPr>
          <w:ilvl w:val="1"/>
          <w:numId w:val="7"/>
        </w:numPr>
        <w:jc w:val="left"/>
      </w:pPr>
      <w:r>
        <w:t>Handbuch zur Anonymisierung wirtschaftsstatistischer Mikrodaten - Band 4 der Reihe Statistik und Wissenschaft. [</w:t>
      </w:r>
      <w:r w:rsidRPr="00F215B1">
        <w:t>Online</w:t>
      </w:r>
      <w:r>
        <w:t xml:space="preserve">, zitiert am 2018-04-24]; </w:t>
      </w:r>
      <w:r w:rsidRPr="00F215B1">
        <w:t>Verfügbar</w:t>
      </w:r>
      <w:r>
        <w:t xml:space="preserve"> unter </w:t>
      </w:r>
      <w:hyperlink r:id="rId23" w:history="1">
        <w:r w:rsidRPr="00F215B1">
          <w:rPr>
            <w:rStyle w:val="Hyperlink"/>
          </w:rPr>
          <w:t>https://www.destatis.de/DE/Publikationen/StatistikWissenschaft/Band4_AnonymisierungMikrodaten.html</w:t>
        </w:r>
      </w:hyperlink>
    </w:p>
    <w:p w14:paraId="0C4652BF" w14:textId="77777777" w:rsidR="001D0CB2" w:rsidRDefault="00E27FE2">
      <w:pPr>
        <w:pStyle w:val="Listenabsatz"/>
        <w:numPr>
          <w:ilvl w:val="1"/>
          <w:numId w:val="7"/>
        </w:numPr>
        <w:jc w:val="left"/>
      </w:pPr>
      <w:r>
        <w:t>Verfahren zur Anonymisierung von Einzeldaten - Band 16 der Reihe Statistik und Wissenschaft. [</w:t>
      </w:r>
      <w:r w:rsidRPr="00F215B1">
        <w:t>Online</w:t>
      </w:r>
      <w:r>
        <w:t xml:space="preserve">, zitiert am 2018-04-24]; </w:t>
      </w:r>
      <w:r w:rsidRPr="00F215B1">
        <w:t>Verfügbar</w:t>
      </w:r>
      <w:r>
        <w:t xml:space="preserve"> unter </w:t>
      </w:r>
      <w:hyperlink r:id="rId24" w:history="1">
        <w:r w:rsidRPr="00F215B1">
          <w:rPr>
            <w:rStyle w:val="Hyperlink"/>
          </w:rPr>
          <w:t>https://www.destatis.de/DE/Publikationen/StatistikWissenschaft/Band16_AnonymisierungEinzeldaten.html</w:t>
        </w:r>
      </w:hyperlink>
    </w:p>
    <w:p w14:paraId="00E1221D" w14:textId="77777777" w:rsidR="001D0CB2" w:rsidRDefault="00E27FE2">
      <w:pPr>
        <w:pStyle w:val="Listenabsatz"/>
        <w:numPr>
          <w:ilvl w:val="1"/>
          <w:numId w:val="7"/>
        </w:numPr>
        <w:jc w:val="left"/>
      </w:pPr>
      <w:r>
        <w:t>Methoden der Geheimhaltung wirtschaftsstatistischer Einzeldaten und ihre Schutzwirkung - Band 18 der Reihe Statistik und Wissenschaft. [</w:t>
      </w:r>
      <w:r w:rsidRPr="00F215B1">
        <w:t>Online</w:t>
      </w:r>
      <w:r>
        <w:t xml:space="preserve">, zitiert am 2018-04-24]; </w:t>
      </w:r>
      <w:r w:rsidRPr="00F215B1">
        <w:t>Verfügbar</w:t>
      </w:r>
      <w:r>
        <w:t xml:space="preserve"> unter </w:t>
      </w:r>
      <w:hyperlink r:id="rId25" w:history="1">
        <w:r w:rsidRPr="00F215B1">
          <w:rPr>
            <w:rStyle w:val="Hyperlink"/>
          </w:rPr>
          <w:t>https://www.destatis.de/DE/Publikationen/StatistikWissenschaft/Band18_MethodenGeheimhaltung.html</w:t>
        </w:r>
      </w:hyperlink>
    </w:p>
    <w:p w14:paraId="57E652E7" w14:textId="2E8048E4" w:rsidR="001D0CB2" w:rsidRDefault="00E27FE2">
      <w:pPr>
        <w:pStyle w:val="Listenabsatz"/>
        <w:numPr>
          <w:ilvl w:val="0"/>
          <w:numId w:val="7"/>
        </w:numPr>
      </w:pPr>
      <w:r w:rsidRPr="00F215B1">
        <w:t>TMF</w:t>
      </w:r>
      <w:r>
        <w:t xml:space="preserve"> </w:t>
      </w:r>
      <w:r w:rsidR="004C4805">
        <w:t>-</w:t>
      </w:r>
      <w:r>
        <w:t xml:space="preserve"> Technologie- und Methodenplattform für die vernetzte medizinische Forschung </w:t>
      </w:r>
      <w:r w:rsidRPr="00F215B1">
        <w:t>e.V.</w:t>
      </w:r>
    </w:p>
    <w:p w14:paraId="3A0753BE" w14:textId="77777777" w:rsidR="001D0CB2" w:rsidRDefault="00E27FE2">
      <w:pPr>
        <w:pStyle w:val="Listenabsatz"/>
        <w:numPr>
          <w:ilvl w:val="1"/>
          <w:numId w:val="7"/>
        </w:numPr>
      </w:pPr>
      <w:r>
        <w:t>Anonymisierung. [</w:t>
      </w:r>
      <w:r w:rsidRPr="00F215B1">
        <w:t>Online</w:t>
      </w:r>
      <w:r>
        <w:t xml:space="preserve">, zitiert am 2018-04-24]; </w:t>
      </w:r>
      <w:r w:rsidRPr="00F215B1">
        <w:t>Verfügbar</w:t>
      </w:r>
      <w:r>
        <w:t xml:space="preserve"> unter </w:t>
      </w:r>
      <w:hyperlink r:id="rId26" w:history="1">
        <w:r w:rsidRPr="00F215B1">
          <w:rPr>
            <w:rStyle w:val="Hyperlink"/>
          </w:rPr>
          <w:t>https://www.toolpool-gesundheitsforschung.de/produkte/?term=anonymisierung</w:t>
        </w:r>
      </w:hyperlink>
    </w:p>
    <w:p w14:paraId="46246D93" w14:textId="77777777" w:rsidR="001D0CB2" w:rsidRDefault="00E27FE2">
      <w:pPr>
        <w:pStyle w:val="Listenabsatz"/>
        <w:numPr>
          <w:ilvl w:val="1"/>
          <w:numId w:val="7"/>
        </w:numPr>
        <w:rPr>
          <w:rStyle w:val="Hyperlink"/>
          <w:color w:val="auto"/>
          <w:u w:val="none"/>
        </w:rPr>
      </w:pPr>
      <w:r>
        <w:t>Pseudonymisierung. [</w:t>
      </w:r>
      <w:r w:rsidRPr="00F215B1">
        <w:t>Online</w:t>
      </w:r>
      <w:r>
        <w:t xml:space="preserve">, zitiert am 2018-04-24]; </w:t>
      </w:r>
      <w:r w:rsidRPr="00F215B1">
        <w:t>Verfügbar</w:t>
      </w:r>
      <w:r>
        <w:t xml:space="preserve"> unter </w:t>
      </w:r>
      <w:hyperlink r:id="rId27" w:history="1">
        <w:r w:rsidRPr="00F215B1">
          <w:rPr>
            <w:rStyle w:val="Hyperlink"/>
          </w:rPr>
          <w:t>https://www.toolpool-gesundheitsforschung.de/produkte/?term=pseudonymisierung</w:t>
        </w:r>
      </w:hyperlink>
    </w:p>
    <w:p w14:paraId="7E8C7A2A" w14:textId="77777777" w:rsidR="001D0CB2" w:rsidRDefault="00E27FE2">
      <w:pPr>
        <w:pStyle w:val="Listenabsatz"/>
        <w:numPr>
          <w:ilvl w:val="0"/>
          <w:numId w:val="7"/>
        </w:numPr>
      </w:pPr>
      <w:r w:rsidRPr="00F215B1">
        <w:t xml:space="preserve">U.S. Department </w:t>
      </w:r>
      <w:proofErr w:type="spellStart"/>
      <w:r w:rsidRPr="00F215B1">
        <w:t>of</w:t>
      </w:r>
      <w:proofErr w:type="spellEnd"/>
      <w:r w:rsidRPr="00F215B1">
        <w:t xml:space="preserve"> </w:t>
      </w:r>
      <w:proofErr w:type="spellStart"/>
      <w:r w:rsidRPr="00F215B1">
        <w:t>Health</w:t>
      </w:r>
      <w:proofErr w:type="spellEnd"/>
      <w:r w:rsidRPr="00F215B1">
        <w:t xml:space="preserve"> &amp; Human Services: </w:t>
      </w:r>
      <w:proofErr w:type="spellStart"/>
      <w:r w:rsidRPr="00F215B1">
        <w:t>Guidance</w:t>
      </w:r>
      <w:proofErr w:type="spellEnd"/>
      <w:r w:rsidRPr="00F215B1">
        <w:t xml:space="preserve"> </w:t>
      </w:r>
      <w:proofErr w:type="spellStart"/>
      <w:r w:rsidRPr="00F215B1">
        <w:t>Regarding</w:t>
      </w:r>
      <w:proofErr w:type="spellEnd"/>
      <w:r w:rsidRPr="00F215B1">
        <w:t xml:space="preserve"> </w:t>
      </w:r>
      <w:proofErr w:type="spellStart"/>
      <w:r w:rsidRPr="00F215B1">
        <w:t>Methods</w:t>
      </w:r>
      <w:proofErr w:type="spellEnd"/>
      <w:r w:rsidRPr="00F215B1">
        <w:t xml:space="preserve"> </w:t>
      </w:r>
      <w:proofErr w:type="spellStart"/>
      <w:r w:rsidRPr="00F215B1">
        <w:t>for</w:t>
      </w:r>
      <w:proofErr w:type="spellEnd"/>
      <w:r w:rsidRPr="00F215B1">
        <w:t xml:space="preserve"> De-</w:t>
      </w:r>
      <w:proofErr w:type="spellStart"/>
      <w:r w:rsidRPr="00F215B1">
        <w:t>identification</w:t>
      </w:r>
      <w:proofErr w:type="spellEnd"/>
      <w:r w:rsidRPr="00F215B1">
        <w:t xml:space="preserve"> </w:t>
      </w:r>
      <w:proofErr w:type="spellStart"/>
      <w:r w:rsidRPr="00F215B1">
        <w:t>of</w:t>
      </w:r>
      <w:proofErr w:type="spellEnd"/>
      <w:r w:rsidRPr="00F215B1">
        <w:t xml:space="preserve"> </w:t>
      </w:r>
      <w:proofErr w:type="spellStart"/>
      <w:r w:rsidRPr="00F215B1">
        <w:t>Protected</w:t>
      </w:r>
      <w:proofErr w:type="spellEnd"/>
      <w:r w:rsidRPr="00F215B1">
        <w:t xml:space="preserve"> </w:t>
      </w:r>
      <w:proofErr w:type="spellStart"/>
      <w:r w:rsidRPr="00F215B1">
        <w:t>Health</w:t>
      </w:r>
      <w:proofErr w:type="spellEnd"/>
      <w:r w:rsidRPr="00F215B1">
        <w:t xml:space="preserve"> Information in </w:t>
      </w:r>
      <w:proofErr w:type="spellStart"/>
      <w:r w:rsidRPr="00F215B1">
        <w:t>Accordance</w:t>
      </w:r>
      <w:proofErr w:type="spellEnd"/>
      <w:r w:rsidRPr="00F215B1">
        <w:t xml:space="preserve"> </w:t>
      </w:r>
      <w:proofErr w:type="spellStart"/>
      <w:r w:rsidRPr="00F215B1">
        <w:t>with</w:t>
      </w:r>
      <w:proofErr w:type="spellEnd"/>
      <w:r w:rsidRPr="00F215B1">
        <w:t xml:space="preserve"> </w:t>
      </w:r>
      <w:proofErr w:type="spellStart"/>
      <w:r w:rsidRPr="00F215B1">
        <w:t>the</w:t>
      </w:r>
      <w:proofErr w:type="spellEnd"/>
      <w:r w:rsidRPr="00F215B1">
        <w:t xml:space="preserve"> </w:t>
      </w:r>
      <w:proofErr w:type="spellStart"/>
      <w:r w:rsidRPr="00F215B1">
        <w:t>Health</w:t>
      </w:r>
      <w:proofErr w:type="spellEnd"/>
      <w:r w:rsidRPr="00F215B1">
        <w:t xml:space="preserve"> Insurance </w:t>
      </w:r>
      <w:proofErr w:type="spellStart"/>
      <w:r w:rsidRPr="00F215B1">
        <w:t>Portability</w:t>
      </w:r>
      <w:proofErr w:type="spellEnd"/>
      <w:r w:rsidRPr="00F215B1">
        <w:t xml:space="preserve"> </w:t>
      </w:r>
      <w:proofErr w:type="spellStart"/>
      <w:r w:rsidRPr="00F215B1">
        <w:t>and</w:t>
      </w:r>
      <w:proofErr w:type="spellEnd"/>
      <w:r w:rsidRPr="00F215B1">
        <w:t xml:space="preserve"> </w:t>
      </w:r>
      <w:proofErr w:type="spellStart"/>
      <w:r w:rsidRPr="00F215B1">
        <w:t>Accountability</w:t>
      </w:r>
      <w:proofErr w:type="spellEnd"/>
      <w:r w:rsidRPr="00F215B1">
        <w:t xml:space="preserve"> </w:t>
      </w:r>
      <w:proofErr w:type="spellStart"/>
      <w:r w:rsidRPr="00F215B1">
        <w:t>Act</w:t>
      </w:r>
      <w:proofErr w:type="spellEnd"/>
      <w:r w:rsidRPr="00F215B1">
        <w:t xml:space="preserve"> (HIPAA) Privacy </w:t>
      </w:r>
      <w:proofErr w:type="spellStart"/>
      <w:r w:rsidRPr="00F215B1">
        <w:t>Rule</w:t>
      </w:r>
      <w:proofErr w:type="spellEnd"/>
      <w:r w:rsidRPr="00F215B1">
        <w:t xml:space="preserve">. </w:t>
      </w:r>
      <w:r>
        <w:t>[</w:t>
      </w:r>
      <w:r w:rsidRPr="00F215B1">
        <w:t>Online</w:t>
      </w:r>
      <w:r>
        <w:t xml:space="preserve">, zitiert am 2018-04-24]; </w:t>
      </w:r>
      <w:r w:rsidRPr="00F215B1">
        <w:t>Verfügbar</w:t>
      </w:r>
      <w:r>
        <w:t xml:space="preserve"> unter </w:t>
      </w:r>
      <w:hyperlink r:id="rId28" w:history="1">
        <w:r w:rsidRPr="00F215B1">
          <w:rPr>
            <w:rStyle w:val="Hyperlink"/>
          </w:rPr>
          <w:t>https://www.hhs.gov/hipaa/for-professionals/privacy/special-topics/de-identification/index.html</w:t>
        </w:r>
      </w:hyperlink>
    </w:p>
    <w:p w14:paraId="6E378E52" w14:textId="77777777" w:rsidR="001D0CB2" w:rsidRDefault="00E27FE2">
      <w:pPr>
        <w:pStyle w:val="berschrift2"/>
      </w:pPr>
      <w:bookmarkStart w:id="131" w:name="_Toc517507997"/>
      <w:r>
        <w:t>Zeitschriften</w:t>
      </w:r>
      <w:bookmarkEnd w:id="131"/>
    </w:p>
    <w:p w14:paraId="645BE3BC" w14:textId="77777777" w:rsidR="001D0CB2" w:rsidRPr="00271C2A" w:rsidRDefault="00E27FE2">
      <w:pPr>
        <w:pStyle w:val="Listenabsatz"/>
        <w:numPr>
          <w:ilvl w:val="0"/>
          <w:numId w:val="7"/>
        </w:numPr>
      </w:pPr>
      <w:r w:rsidRPr="00F215B1">
        <w:t xml:space="preserve">Akgün et al. (2015) Privacy </w:t>
      </w:r>
      <w:proofErr w:type="spellStart"/>
      <w:r w:rsidRPr="00F215B1">
        <w:t>preserving</w:t>
      </w:r>
      <w:proofErr w:type="spellEnd"/>
      <w:r w:rsidRPr="00F215B1">
        <w:t xml:space="preserve"> </w:t>
      </w:r>
      <w:proofErr w:type="spellStart"/>
      <w:r w:rsidRPr="00F215B1">
        <w:t>processing</w:t>
      </w:r>
      <w:proofErr w:type="spellEnd"/>
      <w:r w:rsidRPr="00F215B1">
        <w:t xml:space="preserve"> </w:t>
      </w:r>
      <w:proofErr w:type="spellStart"/>
      <w:r w:rsidRPr="00F215B1">
        <w:t>of</w:t>
      </w:r>
      <w:proofErr w:type="spellEnd"/>
      <w:r w:rsidRPr="00F215B1">
        <w:t xml:space="preserve"> </w:t>
      </w:r>
      <w:proofErr w:type="spellStart"/>
      <w:r w:rsidRPr="00F215B1">
        <w:t>genomic</w:t>
      </w:r>
      <w:proofErr w:type="spellEnd"/>
      <w:r w:rsidRPr="00F215B1">
        <w:t xml:space="preserve"> </w:t>
      </w:r>
      <w:proofErr w:type="spellStart"/>
      <w:r w:rsidRPr="00F215B1">
        <w:t>data</w:t>
      </w:r>
      <w:proofErr w:type="spellEnd"/>
      <w:r w:rsidRPr="00F215B1">
        <w:t xml:space="preserve">: A </w:t>
      </w:r>
      <w:proofErr w:type="spellStart"/>
      <w:r w:rsidRPr="00F215B1">
        <w:t>survey</w:t>
      </w:r>
      <w:proofErr w:type="spellEnd"/>
      <w:r w:rsidRPr="00F215B1">
        <w:t xml:space="preserve">. </w:t>
      </w:r>
      <w:r w:rsidRPr="00271C2A">
        <w:t xml:space="preserve">Journal </w:t>
      </w:r>
      <w:proofErr w:type="spellStart"/>
      <w:r w:rsidRPr="00271C2A">
        <w:t>of</w:t>
      </w:r>
      <w:proofErr w:type="spellEnd"/>
      <w:r w:rsidRPr="00271C2A">
        <w:t xml:space="preserve"> </w:t>
      </w:r>
      <w:r w:rsidRPr="006C6D59">
        <w:t>Biomedical</w:t>
      </w:r>
      <w:r w:rsidRPr="00271C2A">
        <w:t xml:space="preserve"> </w:t>
      </w:r>
      <w:proofErr w:type="spellStart"/>
      <w:r w:rsidRPr="006C6D59">
        <w:t>Informatics</w:t>
      </w:r>
      <w:proofErr w:type="spellEnd"/>
      <w:r w:rsidRPr="00271C2A">
        <w:t xml:space="preserve">, </w:t>
      </w:r>
      <w:hyperlink r:id="rId29" w:history="1">
        <w:r w:rsidRPr="00271C2A">
          <w:rPr>
            <w:rStyle w:val="Hyperlink"/>
          </w:rPr>
          <w:t>http://dx.doi.org/10.1016/j.jbi.2015.05.022</w:t>
        </w:r>
      </w:hyperlink>
    </w:p>
    <w:p w14:paraId="343C9E8E" w14:textId="77777777" w:rsidR="001D0CB2" w:rsidRDefault="00E27FE2">
      <w:pPr>
        <w:pStyle w:val="Listenabsatz"/>
        <w:numPr>
          <w:ilvl w:val="0"/>
          <w:numId w:val="7"/>
        </w:numPr>
      </w:pPr>
      <w:proofErr w:type="spellStart"/>
      <w:r w:rsidRPr="00F215B1">
        <w:t>Brisch</w:t>
      </w:r>
      <w:proofErr w:type="spellEnd"/>
      <w:r>
        <w:t xml:space="preserve"> K, </w:t>
      </w:r>
      <w:r w:rsidRPr="00F215B1">
        <w:t>Pieper</w:t>
      </w:r>
      <w:r>
        <w:t xml:space="preserve"> F. (2015) Das Kriterium der "Bestimmbarkeit" bei Big Data-Analyseverfahren - Anonymisierung, Vernunft und rechtliche Absicherung bei Datenübermittlungen. </w:t>
      </w:r>
      <w:r w:rsidRPr="00F215B1">
        <w:t>CR</w:t>
      </w:r>
      <w:r>
        <w:t>: 724-729</w:t>
      </w:r>
    </w:p>
    <w:p w14:paraId="149B7FB6" w14:textId="77777777" w:rsidR="001D0CB2" w:rsidRPr="00F215B1" w:rsidRDefault="00E27FE2">
      <w:pPr>
        <w:pStyle w:val="Listenabsatz"/>
        <w:numPr>
          <w:ilvl w:val="0"/>
          <w:numId w:val="7"/>
        </w:numPr>
      </w:pPr>
      <w:proofErr w:type="spellStart"/>
      <w:r w:rsidRPr="00271C2A">
        <w:t>El</w:t>
      </w:r>
      <w:proofErr w:type="spellEnd"/>
      <w:r w:rsidRPr="00271C2A">
        <w:t xml:space="preserve"> </w:t>
      </w:r>
      <w:proofErr w:type="spellStart"/>
      <w:r w:rsidRPr="006C6D59">
        <w:t>Emam</w:t>
      </w:r>
      <w:proofErr w:type="spellEnd"/>
      <w:r w:rsidRPr="00271C2A">
        <w:t xml:space="preserve">, </w:t>
      </w:r>
      <w:r w:rsidRPr="006C6D59">
        <w:t>et al.</w:t>
      </w:r>
      <w:r w:rsidRPr="00271C2A">
        <w:t xml:space="preserve"> (2011) A </w:t>
      </w:r>
      <w:proofErr w:type="spellStart"/>
      <w:r w:rsidRPr="00F215B1">
        <w:t>Systematic</w:t>
      </w:r>
      <w:proofErr w:type="spellEnd"/>
      <w:r w:rsidRPr="00271C2A">
        <w:t xml:space="preserve"> Review </w:t>
      </w:r>
      <w:proofErr w:type="spellStart"/>
      <w:r w:rsidRPr="00271C2A">
        <w:t>of</w:t>
      </w:r>
      <w:proofErr w:type="spellEnd"/>
      <w:r w:rsidRPr="00271C2A">
        <w:t xml:space="preserve"> </w:t>
      </w:r>
      <w:r w:rsidRPr="00F215B1">
        <w:t>Re-</w:t>
      </w:r>
      <w:proofErr w:type="spellStart"/>
      <w:r w:rsidRPr="00F215B1">
        <w:t>Identification</w:t>
      </w:r>
      <w:proofErr w:type="spellEnd"/>
      <w:r w:rsidRPr="00271C2A">
        <w:t xml:space="preserve"> </w:t>
      </w:r>
      <w:proofErr w:type="spellStart"/>
      <w:r w:rsidRPr="00271C2A">
        <w:t>Attacks</w:t>
      </w:r>
      <w:proofErr w:type="spellEnd"/>
      <w:r w:rsidRPr="00271C2A">
        <w:t xml:space="preserve"> on </w:t>
      </w:r>
      <w:proofErr w:type="spellStart"/>
      <w:r w:rsidRPr="006C6D59">
        <w:t>Health</w:t>
      </w:r>
      <w:proofErr w:type="spellEnd"/>
      <w:r w:rsidRPr="00271C2A">
        <w:t xml:space="preserve"> Data. </w:t>
      </w:r>
      <w:proofErr w:type="spellStart"/>
      <w:r w:rsidRPr="00F215B1">
        <w:t>PLoS</w:t>
      </w:r>
      <w:proofErr w:type="spellEnd"/>
      <w:r w:rsidRPr="00F215B1">
        <w:t xml:space="preserve"> </w:t>
      </w:r>
      <w:proofErr w:type="spellStart"/>
      <w:r w:rsidRPr="00F215B1">
        <w:t>One</w:t>
      </w:r>
      <w:proofErr w:type="spellEnd"/>
      <w:r w:rsidRPr="00F215B1">
        <w:t xml:space="preserve"> 6(12): e28071, </w:t>
      </w:r>
      <w:hyperlink r:id="rId30" w:history="1">
        <w:r w:rsidRPr="00F215B1">
          <w:rPr>
            <w:rStyle w:val="Hyperlink"/>
          </w:rPr>
          <w:t>https://www.ncbi.nlm.nih.gov/pmc/articles/PMC3229505/</w:t>
        </w:r>
      </w:hyperlink>
    </w:p>
    <w:p w14:paraId="2C7F1F97" w14:textId="77777777" w:rsidR="001D0CB2" w:rsidRPr="00F215B1" w:rsidRDefault="00E27FE2">
      <w:pPr>
        <w:pStyle w:val="Listenabsatz"/>
        <w:numPr>
          <w:ilvl w:val="0"/>
          <w:numId w:val="7"/>
        </w:numPr>
      </w:pPr>
      <w:r w:rsidRPr="00F215B1">
        <w:t xml:space="preserve">Gal et al. (2014) A </w:t>
      </w:r>
      <w:proofErr w:type="spellStart"/>
      <w:r w:rsidRPr="00F215B1">
        <w:t>data</w:t>
      </w:r>
      <w:proofErr w:type="spellEnd"/>
      <w:r w:rsidRPr="00F215B1">
        <w:t xml:space="preserve"> </w:t>
      </w:r>
      <w:proofErr w:type="spellStart"/>
      <w:r w:rsidRPr="00F215B1">
        <w:t>recipient</w:t>
      </w:r>
      <w:proofErr w:type="spellEnd"/>
      <w:r w:rsidRPr="00F215B1">
        <w:t xml:space="preserve"> </w:t>
      </w:r>
      <w:proofErr w:type="spellStart"/>
      <w:r w:rsidRPr="00F215B1">
        <w:t>centered</w:t>
      </w:r>
      <w:proofErr w:type="spellEnd"/>
      <w:r w:rsidRPr="00F215B1">
        <w:t xml:space="preserve"> de-</w:t>
      </w:r>
      <w:proofErr w:type="spellStart"/>
      <w:r w:rsidRPr="00F215B1">
        <w:t>identiﬁcation</w:t>
      </w:r>
      <w:proofErr w:type="spellEnd"/>
      <w:r w:rsidRPr="00F215B1">
        <w:t xml:space="preserve"> </w:t>
      </w:r>
      <w:proofErr w:type="spellStart"/>
      <w:r w:rsidRPr="00F215B1">
        <w:t>method</w:t>
      </w:r>
      <w:proofErr w:type="spellEnd"/>
      <w:r w:rsidRPr="00F215B1">
        <w:t xml:space="preserve"> </w:t>
      </w:r>
      <w:proofErr w:type="spellStart"/>
      <w:r w:rsidRPr="00F215B1">
        <w:t>to</w:t>
      </w:r>
      <w:proofErr w:type="spellEnd"/>
      <w:r w:rsidRPr="00F215B1">
        <w:t xml:space="preserve"> </w:t>
      </w:r>
      <w:proofErr w:type="spellStart"/>
      <w:r w:rsidRPr="00F215B1">
        <w:t>retain</w:t>
      </w:r>
      <w:proofErr w:type="spellEnd"/>
      <w:r w:rsidRPr="00F215B1">
        <w:t xml:space="preserve"> </w:t>
      </w:r>
      <w:proofErr w:type="spellStart"/>
      <w:r w:rsidRPr="00F215B1">
        <w:t>statistical</w:t>
      </w:r>
      <w:proofErr w:type="spellEnd"/>
      <w:r w:rsidRPr="00F215B1">
        <w:t xml:space="preserve"> Attributes. J </w:t>
      </w:r>
      <w:proofErr w:type="spellStart"/>
      <w:r w:rsidRPr="00F215B1">
        <w:t>Biomed</w:t>
      </w:r>
      <w:proofErr w:type="spellEnd"/>
      <w:r w:rsidRPr="00F215B1">
        <w:t xml:space="preserve"> </w:t>
      </w:r>
      <w:proofErr w:type="spellStart"/>
      <w:r w:rsidRPr="00F215B1">
        <w:t>Inform</w:t>
      </w:r>
      <w:proofErr w:type="spellEnd"/>
      <w:r w:rsidRPr="00F215B1">
        <w:t xml:space="preserve">, </w:t>
      </w:r>
      <w:hyperlink r:id="rId31" w:history="1">
        <w:r w:rsidRPr="00F215B1">
          <w:rPr>
            <w:rStyle w:val="Hyperlink"/>
          </w:rPr>
          <w:t>http://dx.doi.org/10.1016/j.jbi.2014.01.001</w:t>
        </w:r>
      </w:hyperlink>
    </w:p>
    <w:p w14:paraId="23EBBFB8" w14:textId="77777777" w:rsidR="001D0CB2" w:rsidRDefault="00E27FE2">
      <w:pPr>
        <w:pStyle w:val="Listenabsatz"/>
        <w:numPr>
          <w:ilvl w:val="0"/>
          <w:numId w:val="7"/>
        </w:numPr>
      </w:pPr>
      <w:proofErr w:type="spellStart"/>
      <w:r w:rsidRPr="00F215B1">
        <w:t>Geschonneck</w:t>
      </w:r>
      <w:proofErr w:type="spellEnd"/>
      <w:r>
        <w:t xml:space="preserve"> A, Meyer J, </w:t>
      </w:r>
      <w:proofErr w:type="spellStart"/>
      <w:r w:rsidRPr="00F215B1">
        <w:t>Scheben</w:t>
      </w:r>
      <w:proofErr w:type="spellEnd"/>
      <w:r>
        <w:t xml:space="preserve"> B. (2011) Anonymisierung im Rahmen der forensischen Datenanalyse. BB</w:t>
      </w:r>
      <w:r w:rsidRPr="00F215B1">
        <w:t>:2677-2680</w:t>
      </w:r>
    </w:p>
    <w:p w14:paraId="2626C3D9" w14:textId="77777777" w:rsidR="001D0CB2" w:rsidRDefault="00E27FE2">
      <w:pPr>
        <w:pStyle w:val="Listenabsatz"/>
        <w:numPr>
          <w:ilvl w:val="0"/>
          <w:numId w:val="7"/>
        </w:numPr>
      </w:pPr>
      <w:r>
        <w:t xml:space="preserve">Hammer V, Knopp M. (2015) Datenschutzinstrumente Anonymisierung, Pseudonyme und Verschlüsselung. </w:t>
      </w:r>
      <w:proofErr w:type="spellStart"/>
      <w:r w:rsidRPr="006C6D59">
        <w:t>DuD</w:t>
      </w:r>
      <w:proofErr w:type="spellEnd"/>
      <w:r>
        <w:t>: 503509</w:t>
      </w:r>
    </w:p>
    <w:p w14:paraId="383412AE" w14:textId="77777777" w:rsidR="001D0CB2" w:rsidRDefault="00E27FE2">
      <w:pPr>
        <w:pStyle w:val="Listenabsatz"/>
        <w:numPr>
          <w:ilvl w:val="0"/>
          <w:numId w:val="7"/>
        </w:numPr>
      </w:pPr>
      <w:proofErr w:type="spellStart"/>
      <w:r w:rsidRPr="00F215B1">
        <w:t>Härting</w:t>
      </w:r>
      <w:proofErr w:type="spellEnd"/>
      <w:r>
        <w:t xml:space="preserve"> N. (2013) Anonymität und </w:t>
      </w:r>
      <w:proofErr w:type="spellStart"/>
      <w:r w:rsidRPr="00F215B1">
        <w:t>Pseudonymität</w:t>
      </w:r>
      <w:proofErr w:type="spellEnd"/>
      <w:r>
        <w:t xml:space="preserve"> im Datenschutzrecht. </w:t>
      </w:r>
      <w:r w:rsidRPr="00F215B1">
        <w:t>NJW</w:t>
      </w:r>
      <w:r>
        <w:t>: 2065-2071</w:t>
      </w:r>
    </w:p>
    <w:p w14:paraId="40BD758D" w14:textId="77777777" w:rsidR="001D0CB2" w:rsidRPr="00F215B1" w:rsidRDefault="00E27FE2">
      <w:pPr>
        <w:pStyle w:val="Listenabsatz"/>
        <w:numPr>
          <w:ilvl w:val="0"/>
          <w:numId w:val="7"/>
        </w:numPr>
      </w:pPr>
      <w:r w:rsidRPr="00F215B1">
        <w:t xml:space="preserve">He et al. (2015) CRFs </w:t>
      </w:r>
      <w:proofErr w:type="spellStart"/>
      <w:r w:rsidRPr="00F215B1">
        <w:t>based</w:t>
      </w:r>
      <w:proofErr w:type="spellEnd"/>
      <w:r w:rsidRPr="00F215B1">
        <w:t xml:space="preserve"> de-</w:t>
      </w:r>
      <w:proofErr w:type="spellStart"/>
      <w:r w:rsidRPr="00F215B1">
        <w:t>identification</w:t>
      </w:r>
      <w:proofErr w:type="spellEnd"/>
      <w:r w:rsidRPr="00F215B1">
        <w:t xml:space="preserve"> </w:t>
      </w:r>
      <w:proofErr w:type="spellStart"/>
      <w:r w:rsidRPr="00F215B1">
        <w:t>of</w:t>
      </w:r>
      <w:proofErr w:type="spellEnd"/>
      <w:r w:rsidRPr="00F215B1">
        <w:t xml:space="preserve"> </w:t>
      </w:r>
      <w:proofErr w:type="spellStart"/>
      <w:r w:rsidRPr="00F215B1">
        <w:t>medical</w:t>
      </w:r>
      <w:proofErr w:type="spellEnd"/>
      <w:r w:rsidRPr="00F215B1">
        <w:t xml:space="preserve"> </w:t>
      </w:r>
      <w:proofErr w:type="spellStart"/>
      <w:r w:rsidRPr="00F215B1">
        <w:t>records</w:t>
      </w:r>
      <w:proofErr w:type="spellEnd"/>
      <w:r w:rsidRPr="00F215B1">
        <w:t xml:space="preserve">. J </w:t>
      </w:r>
      <w:proofErr w:type="spellStart"/>
      <w:r w:rsidRPr="00F215B1">
        <w:t>Biomed</w:t>
      </w:r>
      <w:proofErr w:type="spellEnd"/>
      <w:r w:rsidRPr="00F215B1">
        <w:t xml:space="preserve"> </w:t>
      </w:r>
      <w:proofErr w:type="spellStart"/>
      <w:r w:rsidRPr="00F215B1">
        <w:t>Inform</w:t>
      </w:r>
      <w:proofErr w:type="spellEnd"/>
      <w:r w:rsidRPr="00F215B1">
        <w:t xml:space="preserve">: S39-S46, </w:t>
      </w:r>
      <w:hyperlink r:id="rId32" w:history="1">
        <w:r w:rsidRPr="00F215B1">
          <w:rPr>
            <w:rStyle w:val="Hyperlink"/>
          </w:rPr>
          <w:t>https://www.ncbi.nlm.nih.gov/pmc/articles/PMC4988860/pdf/nihms807198.pdf</w:t>
        </w:r>
      </w:hyperlink>
    </w:p>
    <w:p w14:paraId="3F5381FB" w14:textId="77777777" w:rsidR="001D0CB2" w:rsidRDefault="00E27FE2">
      <w:pPr>
        <w:pStyle w:val="Listenabsatz"/>
        <w:numPr>
          <w:ilvl w:val="0"/>
          <w:numId w:val="7"/>
        </w:numPr>
      </w:pPr>
      <w:r>
        <w:t xml:space="preserve">Höhne H. (2008) Anonymisierungsverfahren für Paneldaten. Wirt </w:t>
      </w:r>
      <w:proofErr w:type="spellStart"/>
      <w:r w:rsidRPr="00F215B1">
        <w:t>Sozialstat</w:t>
      </w:r>
      <w:proofErr w:type="spellEnd"/>
      <w:r>
        <w:t xml:space="preserve"> Archiv: 259–275</w:t>
      </w:r>
    </w:p>
    <w:p w14:paraId="01AE5946" w14:textId="77777777" w:rsidR="001D0CB2" w:rsidRPr="00F215B1" w:rsidRDefault="00E27FE2">
      <w:pPr>
        <w:pStyle w:val="Listenabsatz"/>
        <w:numPr>
          <w:ilvl w:val="0"/>
          <w:numId w:val="7"/>
        </w:numPr>
      </w:pPr>
      <w:r w:rsidRPr="00F215B1">
        <w:t>Jiang</w:t>
      </w:r>
      <w:r w:rsidRPr="00271C2A">
        <w:t xml:space="preserve"> </w:t>
      </w:r>
      <w:r w:rsidRPr="006C6D59">
        <w:t>et al.</w:t>
      </w:r>
      <w:r w:rsidRPr="00271C2A">
        <w:t xml:space="preserve"> (2017) </w:t>
      </w:r>
      <w:r w:rsidRPr="006C6D59">
        <w:t>De-</w:t>
      </w:r>
      <w:proofErr w:type="spellStart"/>
      <w:r w:rsidRPr="006C6D59">
        <w:t>identification</w:t>
      </w:r>
      <w:proofErr w:type="spellEnd"/>
      <w:r w:rsidRPr="00271C2A">
        <w:t xml:space="preserve"> </w:t>
      </w:r>
      <w:proofErr w:type="spellStart"/>
      <w:r w:rsidRPr="00271C2A">
        <w:t>of</w:t>
      </w:r>
      <w:proofErr w:type="spellEnd"/>
      <w:r w:rsidRPr="00271C2A">
        <w:t xml:space="preserve"> </w:t>
      </w:r>
      <w:proofErr w:type="spellStart"/>
      <w:r w:rsidRPr="006C6D59">
        <w:t>medical</w:t>
      </w:r>
      <w:proofErr w:type="spellEnd"/>
      <w:r w:rsidRPr="00271C2A">
        <w:t xml:space="preserve"> </w:t>
      </w:r>
      <w:proofErr w:type="spellStart"/>
      <w:r w:rsidRPr="006C6D59">
        <w:t>records</w:t>
      </w:r>
      <w:proofErr w:type="spellEnd"/>
      <w:r w:rsidRPr="00271C2A">
        <w:t xml:space="preserve"> </w:t>
      </w:r>
      <w:proofErr w:type="spellStart"/>
      <w:r w:rsidRPr="00F215B1">
        <w:t>using</w:t>
      </w:r>
      <w:proofErr w:type="spellEnd"/>
      <w:r w:rsidRPr="00271C2A">
        <w:t xml:space="preserve"> </w:t>
      </w:r>
      <w:proofErr w:type="spellStart"/>
      <w:r w:rsidRPr="00F215B1">
        <w:t>conditional</w:t>
      </w:r>
      <w:proofErr w:type="spellEnd"/>
      <w:r w:rsidRPr="00271C2A">
        <w:t xml:space="preserve"> </w:t>
      </w:r>
      <w:proofErr w:type="spellStart"/>
      <w:r w:rsidRPr="00F215B1">
        <w:t>random</w:t>
      </w:r>
      <w:proofErr w:type="spellEnd"/>
      <w:r w:rsidRPr="00271C2A">
        <w:t xml:space="preserve"> </w:t>
      </w:r>
      <w:proofErr w:type="spellStart"/>
      <w:r w:rsidRPr="00F215B1">
        <w:t>fields</w:t>
      </w:r>
      <w:proofErr w:type="spellEnd"/>
      <w:r w:rsidRPr="00271C2A">
        <w:t xml:space="preserve"> </w:t>
      </w:r>
      <w:proofErr w:type="spellStart"/>
      <w:r w:rsidRPr="006C6D59">
        <w:t>and</w:t>
      </w:r>
      <w:proofErr w:type="spellEnd"/>
      <w:r w:rsidRPr="00271C2A">
        <w:t xml:space="preserve"> </w:t>
      </w:r>
      <w:proofErr w:type="spellStart"/>
      <w:r w:rsidRPr="00271C2A">
        <w:t>long</w:t>
      </w:r>
      <w:proofErr w:type="spellEnd"/>
      <w:r w:rsidRPr="00271C2A">
        <w:t xml:space="preserve"> </w:t>
      </w:r>
      <w:proofErr w:type="spellStart"/>
      <w:r w:rsidRPr="00F215B1">
        <w:t>short</w:t>
      </w:r>
      <w:proofErr w:type="spellEnd"/>
      <w:r w:rsidRPr="00F215B1">
        <w:t>-term</w:t>
      </w:r>
      <w:r w:rsidRPr="00271C2A">
        <w:t xml:space="preserve"> </w:t>
      </w:r>
      <w:proofErr w:type="spellStart"/>
      <w:r w:rsidRPr="00F215B1">
        <w:t>memory</w:t>
      </w:r>
      <w:proofErr w:type="spellEnd"/>
      <w:r w:rsidRPr="00271C2A">
        <w:t xml:space="preserve"> </w:t>
      </w:r>
      <w:proofErr w:type="spellStart"/>
      <w:r w:rsidRPr="00F215B1">
        <w:t>networks</w:t>
      </w:r>
      <w:proofErr w:type="spellEnd"/>
      <w:r w:rsidRPr="00271C2A">
        <w:t xml:space="preserve">. </w:t>
      </w:r>
      <w:r w:rsidRPr="00F215B1">
        <w:t xml:space="preserve">J </w:t>
      </w:r>
      <w:proofErr w:type="spellStart"/>
      <w:r w:rsidRPr="00F215B1">
        <w:t>Biomed</w:t>
      </w:r>
      <w:proofErr w:type="spellEnd"/>
      <w:r w:rsidRPr="00F215B1">
        <w:t xml:space="preserve"> </w:t>
      </w:r>
      <w:proofErr w:type="spellStart"/>
      <w:r w:rsidRPr="00F215B1">
        <w:t>Inform</w:t>
      </w:r>
      <w:proofErr w:type="spellEnd"/>
      <w:r w:rsidRPr="00F215B1">
        <w:t xml:space="preserve">: S43-S53, </w:t>
      </w:r>
      <w:hyperlink r:id="rId33" w:history="1">
        <w:r w:rsidRPr="00F215B1">
          <w:rPr>
            <w:rStyle w:val="Hyperlink"/>
          </w:rPr>
          <w:t>https://www.sciencedirect.com/science/article/pii/S1532046417302228</w:t>
        </w:r>
      </w:hyperlink>
    </w:p>
    <w:p w14:paraId="18A372CD" w14:textId="77777777" w:rsidR="001D0CB2" w:rsidRDefault="00E27FE2">
      <w:pPr>
        <w:pStyle w:val="Listenabsatz"/>
        <w:numPr>
          <w:ilvl w:val="0"/>
          <w:numId w:val="7"/>
        </w:numPr>
      </w:pPr>
      <w:r>
        <w:t xml:space="preserve">Karg M. (2015) Anonymität, Pseudonyme und Personenbezug </w:t>
      </w:r>
      <w:proofErr w:type="spellStart"/>
      <w:r w:rsidRPr="006C6D59">
        <w:t>revisited</w:t>
      </w:r>
      <w:proofErr w:type="spellEnd"/>
      <w:r>
        <w:t xml:space="preserve">. </w:t>
      </w:r>
      <w:proofErr w:type="spellStart"/>
      <w:r w:rsidRPr="006C6D59">
        <w:t>DuD</w:t>
      </w:r>
      <w:proofErr w:type="spellEnd"/>
      <w:r>
        <w:t>: 520-526</w:t>
      </w:r>
    </w:p>
    <w:p w14:paraId="5177E7EF" w14:textId="77777777" w:rsidR="001D0CB2" w:rsidRPr="00271C2A" w:rsidRDefault="00E27FE2">
      <w:pPr>
        <w:pStyle w:val="Listenabsatz"/>
        <w:numPr>
          <w:ilvl w:val="0"/>
          <w:numId w:val="7"/>
        </w:numPr>
      </w:pPr>
      <w:r w:rsidRPr="00271C2A">
        <w:t xml:space="preserve">Kim S, Lee H, Chung </w:t>
      </w:r>
      <w:r w:rsidRPr="00F215B1">
        <w:t>YD</w:t>
      </w:r>
      <w:r w:rsidRPr="00271C2A">
        <w:t xml:space="preserve"> (2016) </w:t>
      </w:r>
      <w:r w:rsidRPr="00F215B1">
        <w:t>Privacy-</w:t>
      </w:r>
      <w:proofErr w:type="spellStart"/>
      <w:r w:rsidRPr="00F215B1">
        <w:t>preserving</w:t>
      </w:r>
      <w:proofErr w:type="spellEnd"/>
      <w:r w:rsidRPr="00271C2A">
        <w:t xml:space="preserve"> Data </w:t>
      </w:r>
      <w:r w:rsidRPr="00F215B1">
        <w:t>Cube</w:t>
      </w:r>
      <w:r w:rsidRPr="00271C2A">
        <w:t xml:space="preserve"> </w:t>
      </w:r>
      <w:proofErr w:type="spellStart"/>
      <w:r w:rsidRPr="006C6D59">
        <w:t>for</w:t>
      </w:r>
      <w:proofErr w:type="spellEnd"/>
      <w:r w:rsidRPr="00271C2A">
        <w:t xml:space="preserve"> </w:t>
      </w:r>
      <w:r w:rsidRPr="00F215B1">
        <w:t>Electronic</w:t>
      </w:r>
      <w:r w:rsidRPr="00271C2A">
        <w:t xml:space="preserve"> </w:t>
      </w:r>
      <w:r w:rsidRPr="006C6D59">
        <w:t>Medical</w:t>
      </w:r>
      <w:r w:rsidRPr="00271C2A">
        <w:t xml:space="preserve"> </w:t>
      </w:r>
      <w:r w:rsidRPr="00F215B1">
        <w:t>Records</w:t>
      </w:r>
      <w:r w:rsidRPr="00271C2A">
        <w:t xml:space="preserve">: </w:t>
      </w:r>
      <w:r w:rsidRPr="00F215B1">
        <w:t>An</w:t>
      </w:r>
      <w:r w:rsidRPr="00271C2A">
        <w:t xml:space="preserve"> </w:t>
      </w:r>
      <w:r w:rsidRPr="00F215B1">
        <w:t>Experimental</w:t>
      </w:r>
      <w:r w:rsidRPr="00271C2A">
        <w:t xml:space="preserve"> Evaluation. International Journal </w:t>
      </w:r>
      <w:proofErr w:type="spellStart"/>
      <w:r w:rsidRPr="00271C2A">
        <w:t>of</w:t>
      </w:r>
      <w:proofErr w:type="spellEnd"/>
      <w:r w:rsidRPr="00271C2A">
        <w:t xml:space="preserve"> </w:t>
      </w:r>
      <w:r w:rsidRPr="006C6D59">
        <w:t>Medical</w:t>
      </w:r>
      <w:r w:rsidRPr="00271C2A">
        <w:t xml:space="preserve"> </w:t>
      </w:r>
      <w:proofErr w:type="spellStart"/>
      <w:r w:rsidRPr="006C6D59">
        <w:t>Informatics</w:t>
      </w:r>
      <w:proofErr w:type="spellEnd"/>
      <w:r w:rsidRPr="00271C2A">
        <w:t xml:space="preserve">, </w:t>
      </w:r>
      <w:hyperlink r:id="rId34" w:history="1">
        <w:r w:rsidRPr="00271C2A">
          <w:rPr>
            <w:rStyle w:val="Hyperlink"/>
          </w:rPr>
          <w:t>http://dx.doi.org/10.1016/j.ijmedinf.2016.09.008</w:t>
        </w:r>
      </w:hyperlink>
    </w:p>
    <w:p w14:paraId="000994EB" w14:textId="77777777" w:rsidR="001D0CB2" w:rsidRDefault="00E27FE2">
      <w:pPr>
        <w:pStyle w:val="Listenabsatz"/>
        <w:numPr>
          <w:ilvl w:val="0"/>
          <w:numId w:val="7"/>
        </w:numPr>
      </w:pPr>
      <w:r>
        <w:t xml:space="preserve">Knopp M. (2015) Pseudonym – Grauzone zwischen Anonymisierung und Personenbezug. </w:t>
      </w:r>
      <w:proofErr w:type="spellStart"/>
      <w:r w:rsidRPr="006C6D59">
        <w:t>DuD</w:t>
      </w:r>
      <w:proofErr w:type="spellEnd"/>
      <w:r>
        <w:t>: 527-530</w:t>
      </w:r>
    </w:p>
    <w:p w14:paraId="0AA2ADBA" w14:textId="77777777" w:rsidR="001D0CB2" w:rsidRPr="00F215B1" w:rsidRDefault="00E27FE2">
      <w:pPr>
        <w:pStyle w:val="Listenabsatz"/>
        <w:numPr>
          <w:ilvl w:val="0"/>
          <w:numId w:val="7"/>
        </w:numPr>
      </w:pPr>
      <w:proofErr w:type="spellStart"/>
      <w:r w:rsidRPr="00F215B1">
        <w:t>Kushida</w:t>
      </w:r>
      <w:proofErr w:type="spellEnd"/>
      <w:r w:rsidRPr="00F215B1">
        <w:t xml:space="preserve">, et al. (2012) </w:t>
      </w:r>
      <w:proofErr w:type="spellStart"/>
      <w:r w:rsidRPr="00F215B1">
        <w:t>trategies</w:t>
      </w:r>
      <w:proofErr w:type="spellEnd"/>
      <w:r w:rsidRPr="00F215B1">
        <w:t xml:space="preserve"> </w:t>
      </w:r>
      <w:proofErr w:type="spellStart"/>
      <w:r w:rsidRPr="00F215B1">
        <w:t>for</w:t>
      </w:r>
      <w:proofErr w:type="spellEnd"/>
      <w:r w:rsidRPr="00F215B1">
        <w:t xml:space="preserve"> De-</w:t>
      </w:r>
      <w:proofErr w:type="spellStart"/>
      <w:r w:rsidRPr="00F215B1">
        <w:t>identification</w:t>
      </w:r>
      <w:proofErr w:type="spellEnd"/>
      <w:r w:rsidRPr="00F215B1">
        <w:t xml:space="preserve"> </w:t>
      </w:r>
      <w:proofErr w:type="spellStart"/>
      <w:r w:rsidRPr="00F215B1">
        <w:t>and</w:t>
      </w:r>
      <w:proofErr w:type="spellEnd"/>
      <w:r w:rsidRPr="00F215B1">
        <w:t xml:space="preserve"> </w:t>
      </w:r>
      <w:proofErr w:type="spellStart"/>
      <w:r w:rsidRPr="00F215B1">
        <w:t>Anonymization</w:t>
      </w:r>
      <w:proofErr w:type="spellEnd"/>
      <w:r w:rsidRPr="00F215B1">
        <w:t xml:space="preserve"> </w:t>
      </w:r>
      <w:proofErr w:type="spellStart"/>
      <w:r w:rsidRPr="00F215B1">
        <w:t>of</w:t>
      </w:r>
      <w:proofErr w:type="spellEnd"/>
      <w:r w:rsidRPr="00F215B1">
        <w:t xml:space="preserve"> Electronic </w:t>
      </w:r>
      <w:proofErr w:type="spellStart"/>
      <w:r w:rsidRPr="00F215B1">
        <w:t>Health</w:t>
      </w:r>
      <w:proofErr w:type="spellEnd"/>
      <w:r w:rsidRPr="00F215B1">
        <w:t xml:space="preserve"> </w:t>
      </w:r>
      <w:proofErr w:type="spellStart"/>
      <w:r w:rsidRPr="00F215B1">
        <w:t>Record</w:t>
      </w:r>
      <w:proofErr w:type="spellEnd"/>
      <w:r w:rsidRPr="00F215B1">
        <w:t xml:space="preserve"> Data </w:t>
      </w:r>
      <w:proofErr w:type="spellStart"/>
      <w:r w:rsidRPr="00F215B1">
        <w:t>for</w:t>
      </w:r>
      <w:proofErr w:type="spellEnd"/>
      <w:r w:rsidRPr="00F215B1">
        <w:t xml:space="preserve"> </w:t>
      </w:r>
      <w:proofErr w:type="spellStart"/>
      <w:r w:rsidRPr="00F215B1">
        <w:t>Use</w:t>
      </w:r>
      <w:proofErr w:type="spellEnd"/>
      <w:r w:rsidRPr="00F215B1">
        <w:t xml:space="preserve"> in Multicenter Research Studies. Med Care: S82–S101</w:t>
      </w:r>
    </w:p>
    <w:p w14:paraId="1DEF6E73" w14:textId="77777777" w:rsidR="001D0CB2" w:rsidRPr="00271C2A" w:rsidRDefault="00E27FE2">
      <w:pPr>
        <w:pStyle w:val="Listenabsatz"/>
        <w:numPr>
          <w:ilvl w:val="0"/>
          <w:numId w:val="7"/>
        </w:numPr>
      </w:pPr>
      <w:proofErr w:type="spellStart"/>
      <w:r w:rsidRPr="00F215B1">
        <w:t>Loukides</w:t>
      </w:r>
      <w:proofErr w:type="spellEnd"/>
      <w:r w:rsidRPr="00F215B1">
        <w:t xml:space="preserve"> et al. (2014) </w:t>
      </w:r>
      <w:proofErr w:type="spellStart"/>
      <w:r w:rsidRPr="00F215B1">
        <w:t>Disassociation</w:t>
      </w:r>
      <w:proofErr w:type="spellEnd"/>
      <w:r w:rsidRPr="00F215B1">
        <w:t xml:space="preserve"> </w:t>
      </w:r>
      <w:proofErr w:type="spellStart"/>
      <w:r w:rsidRPr="00F215B1">
        <w:t>for</w:t>
      </w:r>
      <w:proofErr w:type="spellEnd"/>
      <w:r w:rsidRPr="00F215B1">
        <w:t xml:space="preserve"> electronic </w:t>
      </w:r>
      <w:proofErr w:type="spellStart"/>
      <w:r w:rsidRPr="00F215B1">
        <w:t>health</w:t>
      </w:r>
      <w:proofErr w:type="spellEnd"/>
      <w:r w:rsidRPr="00F215B1">
        <w:t xml:space="preserve"> </w:t>
      </w:r>
      <w:proofErr w:type="spellStart"/>
      <w:r w:rsidRPr="00F215B1">
        <w:t>record</w:t>
      </w:r>
      <w:proofErr w:type="spellEnd"/>
      <w:r w:rsidRPr="00F215B1">
        <w:t xml:space="preserve"> </w:t>
      </w:r>
      <w:proofErr w:type="spellStart"/>
      <w:r w:rsidRPr="00F215B1">
        <w:t>privacy</w:t>
      </w:r>
      <w:proofErr w:type="spellEnd"/>
      <w:r w:rsidRPr="00F215B1">
        <w:t xml:space="preserve">. </w:t>
      </w:r>
      <w:r w:rsidRPr="00271C2A">
        <w:t xml:space="preserve">Journal </w:t>
      </w:r>
      <w:proofErr w:type="spellStart"/>
      <w:r w:rsidRPr="00271C2A">
        <w:t>of</w:t>
      </w:r>
      <w:proofErr w:type="spellEnd"/>
      <w:r w:rsidRPr="00271C2A">
        <w:t xml:space="preserve"> </w:t>
      </w:r>
      <w:r w:rsidRPr="006C6D59">
        <w:t>Biomedical</w:t>
      </w:r>
      <w:r w:rsidRPr="00271C2A">
        <w:t xml:space="preserve"> </w:t>
      </w:r>
      <w:proofErr w:type="spellStart"/>
      <w:r w:rsidRPr="006C6D59">
        <w:t>Informatics</w:t>
      </w:r>
      <w:proofErr w:type="spellEnd"/>
      <w:r w:rsidRPr="00271C2A">
        <w:t>: 46-61</w:t>
      </w:r>
    </w:p>
    <w:p w14:paraId="056CE38D" w14:textId="77777777" w:rsidR="001D0CB2" w:rsidRPr="00F215B1" w:rsidRDefault="00E27FE2">
      <w:pPr>
        <w:pStyle w:val="Listenabsatz"/>
        <w:numPr>
          <w:ilvl w:val="0"/>
          <w:numId w:val="7"/>
        </w:numPr>
      </w:pPr>
      <w:proofErr w:type="spellStart"/>
      <w:r w:rsidRPr="00F215B1">
        <w:t>Lu</w:t>
      </w:r>
      <w:proofErr w:type="spellEnd"/>
      <w:r w:rsidRPr="00F215B1">
        <w:t xml:space="preserve"> Y, </w:t>
      </w:r>
      <w:proofErr w:type="spellStart"/>
      <w:r w:rsidRPr="00F215B1">
        <w:t>Sinnott</w:t>
      </w:r>
      <w:proofErr w:type="spellEnd"/>
      <w:r w:rsidRPr="00F215B1">
        <w:t xml:space="preserve"> RO, </w:t>
      </w:r>
      <w:proofErr w:type="spellStart"/>
      <w:r w:rsidRPr="00F215B1">
        <w:t>Verspoor</w:t>
      </w:r>
      <w:proofErr w:type="spellEnd"/>
      <w:r w:rsidRPr="00F215B1">
        <w:t xml:space="preserve"> K. (2017) A </w:t>
      </w:r>
      <w:proofErr w:type="spellStart"/>
      <w:r w:rsidRPr="00F215B1">
        <w:t>Semantic</w:t>
      </w:r>
      <w:proofErr w:type="spellEnd"/>
      <w:r w:rsidRPr="00F215B1">
        <w:t xml:space="preserve">- </w:t>
      </w:r>
      <w:proofErr w:type="spellStart"/>
      <w:r w:rsidRPr="00F215B1">
        <w:t>ased</w:t>
      </w:r>
      <w:proofErr w:type="spellEnd"/>
      <w:r w:rsidRPr="00F215B1">
        <w:t xml:space="preserve"> K- </w:t>
      </w:r>
      <w:proofErr w:type="spellStart"/>
      <w:r w:rsidRPr="00F215B1">
        <w:t>nonymity</w:t>
      </w:r>
      <w:proofErr w:type="spellEnd"/>
      <w:r w:rsidRPr="00F215B1">
        <w:t xml:space="preserve"> </w:t>
      </w:r>
      <w:proofErr w:type="spellStart"/>
      <w:r w:rsidRPr="00F215B1">
        <w:t>Scheme</w:t>
      </w:r>
      <w:proofErr w:type="spellEnd"/>
      <w:r w:rsidRPr="00F215B1">
        <w:t xml:space="preserve"> </w:t>
      </w:r>
      <w:proofErr w:type="spellStart"/>
      <w:r w:rsidRPr="00F215B1">
        <w:t>for</w:t>
      </w:r>
      <w:proofErr w:type="spellEnd"/>
      <w:r w:rsidRPr="00F215B1">
        <w:t xml:space="preserve"> </w:t>
      </w:r>
      <w:proofErr w:type="spellStart"/>
      <w:r w:rsidRPr="00F215B1">
        <w:t>Health</w:t>
      </w:r>
      <w:proofErr w:type="spellEnd"/>
      <w:r w:rsidRPr="00F215B1">
        <w:t xml:space="preserve"> </w:t>
      </w:r>
      <w:proofErr w:type="spellStart"/>
      <w:r w:rsidRPr="00F215B1">
        <w:t>Record</w:t>
      </w:r>
      <w:proofErr w:type="spellEnd"/>
      <w:r w:rsidRPr="00F215B1">
        <w:t xml:space="preserve"> </w:t>
      </w:r>
      <w:proofErr w:type="spellStart"/>
      <w:r w:rsidRPr="00F215B1">
        <w:t>Linkage</w:t>
      </w:r>
      <w:proofErr w:type="spellEnd"/>
      <w:r w:rsidRPr="00F215B1">
        <w:t xml:space="preserve">. </w:t>
      </w:r>
      <w:proofErr w:type="spellStart"/>
      <w:r w:rsidRPr="00F215B1">
        <w:t>Integrating</w:t>
      </w:r>
      <w:proofErr w:type="spellEnd"/>
      <w:r w:rsidRPr="00F215B1">
        <w:t xml:space="preserve"> </w:t>
      </w:r>
      <w:proofErr w:type="spellStart"/>
      <w:r w:rsidRPr="00F215B1">
        <w:t>and</w:t>
      </w:r>
      <w:proofErr w:type="spellEnd"/>
      <w:r w:rsidRPr="00F215B1">
        <w:t xml:space="preserve"> </w:t>
      </w:r>
      <w:proofErr w:type="spellStart"/>
      <w:r w:rsidRPr="00F215B1">
        <w:t>Connecting</w:t>
      </w:r>
      <w:proofErr w:type="spellEnd"/>
      <w:r w:rsidRPr="00F215B1">
        <w:t xml:space="preserve"> Care: 84-90</w:t>
      </w:r>
    </w:p>
    <w:p w14:paraId="3D625B36" w14:textId="77777777" w:rsidR="001D0CB2" w:rsidRDefault="00E27FE2">
      <w:pPr>
        <w:pStyle w:val="Listenabsatz"/>
        <w:numPr>
          <w:ilvl w:val="0"/>
          <w:numId w:val="7"/>
        </w:numPr>
      </w:pPr>
      <w:proofErr w:type="spellStart"/>
      <w:r w:rsidRPr="00F215B1">
        <w:lastRenderedPageBreak/>
        <w:t>Malin</w:t>
      </w:r>
      <w:proofErr w:type="spellEnd"/>
      <w:r w:rsidRPr="00F215B1">
        <w:t xml:space="preserve"> B, Sweeney L. (2004) </w:t>
      </w:r>
      <w:proofErr w:type="spellStart"/>
      <w:r w:rsidRPr="00F215B1">
        <w:t>How</w:t>
      </w:r>
      <w:proofErr w:type="spellEnd"/>
      <w:r w:rsidRPr="00F215B1">
        <w:t xml:space="preserve"> (not) </w:t>
      </w:r>
      <w:proofErr w:type="spellStart"/>
      <w:r w:rsidRPr="00F215B1">
        <w:t>to</w:t>
      </w:r>
      <w:proofErr w:type="spellEnd"/>
      <w:r w:rsidRPr="00F215B1">
        <w:t xml:space="preserve"> </w:t>
      </w:r>
      <w:proofErr w:type="spellStart"/>
      <w:r w:rsidRPr="00F215B1">
        <w:t>protect</w:t>
      </w:r>
      <w:proofErr w:type="spellEnd"/>
      <w:r w:rsidRPr="00F215B1">
        <w:t xml:space="preserve"> </w:t>
      </w:r>
      <w:proofErr w:type="spellStart"/>
      <w:r w:rsidRPr="00F215B1">
        <w:t>genomic</w:t>
      </w:r>
      <w:proofErr w:type="spellEnd"/>
      <w:r w:rsidRPr="00F215B1">
        <w:t xml:space="preserve"> </w:t>
      </w:r>
      <w:proofErr w:type="spellStart"/>
      <w:r w:rsidRPr="00F215B1">
        <w:t>data</w:t>
      </w:r>
      <w:proofErr w:type="spellEnd"/>
      <w:r w:rsidRPr="00F215B1">
        <w:t xml:space="preserve"> </w:t>
      </w:r>
      <w:proofErr w:type="spellStart"/>
      <w:r w:rsidRPr="00F215B1">
        <w:t>privacy</w:t>
      </w:r>
      <w:proofErr w:type="spellEnd"/>
      <w:r w:rsidRPr="00F215B1">
        <w:t xml:space="preserve"> in a </w:t>
      </w:r>
      <w:proofErr w:type="spellStart"/>
      <w:r w:rsidRPr="00F215B1">
        <w:t>distributed</w:t>
      </w:r>
      <w:proofErr w:type="spellEnd"/>
      <w:r w:rsidRPr="00F215B1">
        <w:t xml:space="preserve"> </w:t>
      </w:r>
      <w:proofErr w:type="spellStart"/>
      <w:r w:rsidRPr="00F215B1">
        <w:t>network</w:t>
      </w:r>
      <w:proofErr w:type="spellEnd"/>
      <w:r w:rsidRPr="00F215B1">
        <w:t xml:space="preserve">: </w:t>
      </w:r>
      <w:proofErr w:type="spellStart"/>
      <w:r w:rsidRPr="00F215B1">
        <w:t>using</w:t>
      </w:r>
      <w:proofErr w:type="spellEnd"/>
      <w:r w:rsidRPr="00F215B1">
        <w:t xml:space="preserve"> </w:t>
      </w:r>
      <w:proofErr w:type="spellStart"/>
      <w:r w:rsidRPr="00F215B1">
        <w:t>trail</w:t>
      </w:r>
      <w:proofErr w:type="spellEnd"/>
      <w:r w:rsidRPr="00F215B1">
        <w:t xml:space="preserve"> </w:t>
      </w:r>
      <w:proofErr w:type="spellStart"/>
      <w:r w:rsidRPr="00F215B1">
        <w:t>re-identiﬁcation</w:t>
      </w:r>
      <w:proofErr w:type="spellEnd"/>
      <w:r w:rsidRPr="00F215B1">
        <w:t xml:space="preserve"> </w:t>
      </w:r>
      <w:proofErr w:type="spellStart"/>
      <w:r w:rsidRPr="00F215B1">
        <w:t>to</w:t>
      </w:r>
      <w:proofErr w:type="spellEnd"/>
      <w:r w:rsidRPr="00F215B1">
        <w:t xml:space="preserve"> </w:t>
      </w:r>
      <w:proofErr w:type="spellStart"/>
      <w:r w:rsidRPr="00F215B1">
        <w:t>evaluate</w:t>
      </w:r>
      <w:proofErr w:type="spellEnd"/>
      <w:r w:rsidRPr="00F215B1">
        <w:t xml:space="preserve"> </w:t>
      </w:r>
      <w:proofErr w:type="spellStart"/>
      <w:r w:rsidRPr="00F215B1">
        <w:t>and</w:t>
      </w:r>
      <w:proofErr w:type="spellEnd"/>
      <w:r w:rsidRPr="00F215B1">
        <w:t xml:space="preserve"> design </w:t>
      </w:r>
      <w:proofErr w:type="spellStart"/>
      <w:r w:rsidRPr="00F215B1">
        <w:t>anonymity</w:t>
      </w:r>
      <w:proofErr w:type="spellEnd"/>
      <w:r w:rsidRPr="00F215B1">
        <w:t xml:space="preserve"> </w:t>
      </w:r>
      <w:proofErr w:type="spellStart"/>
      <w:r w:rsidRPr="00F215B1">
        <w:t>protection</w:t>
      </w:r>
      <w:proofErr w:type="spellEnd"/>
      <w:r w:rsidRPr="00F215B1">
        <w:t xml:space="preserve"> </w:t>
      </w:r>
      <w:proofErr w:type="spellStart"/>
      <w:r w:rsidRPr="00F215B1">
        <w:t>systems</w:t>
      </w:r>
      <w:proofErr w:type="spellEnd"/>
      <w:r w:rsidRPr="00F215B1">
        <w:t xml:space="preserve">. </w:t>
      </w:r>
      <w:r>
        <w:t xml:space="preserve">Journal </w:t>
      </w:r>
      <w:proofErr w:type="spellStart"/>
      <w:r>
        <w:t>of</w:t>
      </w:r>
      <w:proofErr w:type="spellEnd"/>
      <w:r>
        <w:t xml:space="preserve"> </w:t>
      </w:r>
      <w:r w:rsidRPr="006C6D59">
        <w:t>Biomedical</w:t>
      </w:r>
      <w:r>
        <w:t xml:space="preserve"> </w:t>
      </w:r>
      <w:proofErr w:type="spellStart"/>
      <w:r w:rsidRPr="006C6D59">
        <w:t>Informatics</w:t>
      </w:r>
      <w:proofErr w:type="spellEnd"/>
      <w:r>
        <w:t>: 179-192</w:t>
      </w:r>
    </w:p>
    <w:p w14:paraId="0151E8EF" w14:textId="77777777" w:rsidR="001D0CB2" w:rsidRDefault="00E27FE2">
      <w:pPr>
        <w:pStyle w:val="Listenabsatz"/>
        <w:numPr>
          <w:ilvl w:val="0"/>
          <w:numId w:val="7"/>
        </w:numPr>
      </w:pPr>
      <w:proofErr w:type="spellStart"/>
      <w:r w:rsidRPr="00271C2A">
        <w:t>Malin</w:t>
      </w:r>
      <w:proofErr w:type="spellEnd"/>
      <w:r w:rsidRPr="00271C2A">
        <w:t xml:space="preserve"> B. (2010) </w:t>
      </w:r>
      <w:r w:rsidRPr="00F215B1">
        <w:t>Secure</w:t>
      </w:r>
      <w:r w:rsidRPr="00271C2A">
        <w:t xml:space="preserve"> </w:t>
      </w:r>
      <w:proofErr w:type="spellStart"/>
      <w:r w:rsidRPr="00F215B1">
        <w:t>construction</w:t>
      </w:r>
      <w:proofErr w:type="spellEnd"/>
      <w:r w:rsidRPr="00271C2A">
        <w:t xml:space="preserve"> </w:t>
      </w:r>
      <w:proofErr w:type="spellStart"/>
      <w:r w:rsidRPr="00271C2A">
        <w:t>of</w:t>
      </w:r>
      <w:proofErr w:type="spellEnd"/>
      <w:r w:rsidRPr="00271C2A">
        <w:t xml:space="preserve"> </w:t>
      </w:r>
      <w:r w:rsidRPr="00F215B1">
        <w:t>k-</w:t>
      </w:r>
      <w:proofErr w:type="spellStart"/>
      <w:r w:rsidRPr="00F215B1">
        <w:t>unlinkable</w:t>
      </w:r>
      <w:proofErr w:type="spellEnd"/>
      <w:r w:rsidRPr="00271C2A">
        <w:t xml:space="preserve"> </w:t>
      </w:r>
      <w:proofErr w:type="spellStart"/>
      <w:r w:rsidRPr="00F215B1">
        <w:t>patient</w:t>
      </w:r>
      <w:proofErr w:type="spellEnd"/>
      <w:r w:rsidRPr="00271C2A">
        <w:t xml:space="preserve"> </w:t>
      </w:r>
      <w:proofErr w:type="spellStart"/>
      <w:r w:rsidRPr="006C6D59">
        <w:t>records</w:t>
      </w:r>
      <w:proofErr w:type="spellEnd"/>
      <w:r w:rsidRPr="00271C2A">
        <w:t xml:space="preserve"> </w:t>
      </w:r>
      <w:proofErr w:type="spellStart"/>
      <w:r w:rsidRPr="00F215B1">
        <w:t>from</w:t>
      </w:r>
      <w:proofErr w:type="spellEnd"/>
      <w:r w:rsidRPr="00271C2A">
        <w:t xml:space="preserve"> </w:t>
      </w:r>
      <w:proofErr w:type="spellStart"/>
      <w:r w:rsidRPr="00F215B1">
        <w:t>distributed</w:t>
      </w:r>
      <w:proofErr w:type="spellEnd"/>
      <w:r w:rsidRPr="00271C2A">
        <w:t xml:space="preserve"> </w:t>
      </w:r>
      <w:proofErr w:type="spellStart"/>
      <w:r w:rsidRPr="00F215B1">
        <w:t>providers</w:t>
      </w:r>
      <w:proofErr w:type="spellEnd"/>
      <w:r w:rsidRPr="00271C2A">
        <w:t xml:space="preserve">. </w:t>
      </w:r>
      <w:proofErr w:type="spellStart"/>
      <w:r w:rsidRPr="00F215B1">
        <w:t>Artiﬁcial</w:t>
      </w:r>
      <w:proofErr w:type="spellEnd"/>
      <w:r>
        <w:t xml:space="preserve"> </w:t>
      </w:r>
      <w:proofErr w:type="spellStart"/>
      <w:r w:rsidRPr="00F215B1">
        <w:t>Intelligence</w:t>
      </w:r>
      <w:proofErr w:type="spellEnd"/>
      <w:r>
        <w:t xml:space="preserve"> in </w:t>
      </w:r>
      <w:proofErr w:type="spellStart"/>
      <w:r w:rsidRPr="00F215B1">
        <w:t>Medicine</w:t>
      </w:r>
      <w:proofErr w:type="spellEnd"/>
      <w:r>
        <w:t>: 29–41</w:t>
      </w:r>
    </w:p>
    <w:p w14:paraId="3E61C2C9" w14:textId="77777777" w:rsidR="001D0CB2" w:rsidRPr="00271C2A" w:rsidRDefault="00E27FE2">
      <w:pPr>
        <w:pStyle w:val="Listenabsatz"/>
        <w:numPr>
          <w:ilvl w:val="0"/>
          <w:numId w:val="7"/>
        </w:numPr>
      </w:pPr>
      <w:proofErr w:type="spellStart"/>
      <w:r w:rsidRPr="00F215B1">
        <w:t>Malin</w:t>
      </w:r>
      <w:proofErr w:type="spellEnd"/>
      <w:r w:rsidRPr="00F215B1">
        <w:t xml:space="preserve"> et al. (2011) </w:t>
      </w:r>
      <w:proofErr w:type="spellStart"/>
      <w:r w:rsidRPr="00F215B1">
        <w:t>Identifiability</w:t>
      </w:r>
      <w:proofErr w:type="spellEnd"/>
      <w:r w:rsidRPr="00F215B1">
        <w:t xml:space="preserve"> in </w:t>
      </w:r>
      <w:proofErr w:type="spellStart"/>
      <w:r w:rsidRPr="00F215B1">
        <w:t>biobanks</w:t>
      </w:r>
      <w:proofErr w:type="spellEnd"/>
      <w:r w:rsidRPr="00F215B1">
        <w:t xml:space="preserve">: </w:t>
      </w:r>
      <w:proofErr w:type="spellStart"/>
      <w:r w:rsidRPr="00F215B1">
        <w:t>models</w:t>
      </w:r>
      <w:proofErr w:type="spellEnd"/>
      <w:r w:rsidRPr="00F215B1">
        <w:t xml:space="preserve">, </w:t>
      </w:r>
      <w:proofErr w:type="spellStart"/>
      <w:r w:rsidRPr="00F215B1">
        <w:t>measures</w:t>
      </w:r>
      <w:proofErr w:type="spellEnd"/>
      <w:r w:rsidRPr="00F215B1">
        <w:t xml:space="preserve">, </w:t>
      </w:r>
      <w:proofErr w:type="spellStart"/>
      <w:r w:rsidRPr="00F215B1">
        <w:t>and</w:t>
      </w:r>
      <w:proofErr w:type="spellEnd"/>
      <w:r w:rsidRPr="00F215B1">
        <w:t xml:space="preserve"> </w:t>
      </w:r>
      <w:proofErr w:type="spellStart"/>
      <w:r w:rsidRPr="00F215B1">
        <w:t>mitigation</w:t>
      </w:r>
      <w:proofErr w:type="spellEnd"/>
      <w:r w:rsidRPr="00F215B1">
        <w:t xml:space="preserve"> </w:t>
      </w:r>
      <w:proofErr w:type="spellStart"/>
      <w:r w:rsidRPr="00F215B1">
        <w:t>strategies</w:t>
      </w:r>
      <w:proofErr w:type="spellEnd"/>
      <w:r w:rsidRPr="00F215B1">
        <w:t>. Hum</w:t>
      </w:r>
      <w:r w:rsidRPr="00271C2A">
        <w:t xml:space="preserve"> Genet: 383–392</w:t>
      </w:r>
    </w:p>
    <w:p w14:paraId="477A6812" w14:textId="77777777" w:rsidR="001D0CB2" w:rsidRDefault="00E27FE2">
      <w:pPr>
        <w:pStyle w:val="Listenabsatz"/>
        <w:numPr>
          <w:ilvl w:val="0"/>
          <w:numId w:val="7"/>
        </w:numPr>
      </w:pPr>
      <w:proofErr w:type="spellStart"/>
      <w:r w:rsidRPr="00F215B1">
        <w:t>Marnau</w:t>
      </w:r>
      <w:proofErr w:type="spellEnd"/>
      <w:r>
        <w:t xml:space="preserve"> N. (2016) Anonymisierung, Pseudonymisierung und Transparenz für Big Data - </w:t>
      </w:r>
      <w:r w:rsidRPr="00F215B1">
        <w:t>Technische</w:t>
      </w:r>
      <w:r>
        <w:t xml:space="preserve"> Herausforderungen und Regelungen in der Datenschutz-Grundverordnung. </w:t>
      </w:r>
      <w:proofErr w:type="spellStart"/>
      <w:r w:rsidRPr="006C6D59">
        <w:t>DuD</w:t>
      </w:r>
      <w:proofErr w:type="spellEnd"/>
      <w:r>
        <w:t>: 428-433</w:t>
      </w:r>
    </w:p>
    <w:p w14:paraId="3DF751AE" w14:textId="77777777" w:rsidR="001D0CB2" w:rsidRPr="00F215B1" w:rsidRDefault="00E27FE2">
      <w:pPr>
        <w:pStyle w:val="Listenabsatz"/>
        <w:numPr>
          <w:ilvl w:val="0"/>
          <w:numId w:val="7"/>
        </w:numPr>
      </w:pPr>
      <w:proofErr w:type="spellStart"/>
      <w:r w:rsidRPr="00F215B1">
        <w:t>Neamatullah</w:t>
      </w:r>
      <w:proofErr w:type="spellEnd"/>
      <w:r w:rsidRPr="00F215B1">
        <w:t xml:space="preserve"> et al. (2008) </w:t>
      </w:r>
      <w:proofErr w:type="spellStart"/>
      <w:r w:rsidRPr="00F215B1">
        <w:t>Automated</w:t>
      </w:r>
      <w:proofErr w:type="spellEnd"/>
      <w:r w:rsidRPr="00F215B1">
        <w:t xml:space="preserve"> de-</w:t>
      </w:r>
      <w:proofErr w:type="spellStart"/>
      <w:r w:rsidRPr="00F215B1">
        <w:t>identification</w:t>
      </w:r>
      <w:proofErr w:type="spellEnd"/>
      <w:r w:rsidRPr="00F215B1">
        <w:t xml:space="preserve"> </w:t>
      </w:r>
      <w:proofErr w:type="spellStart"/>
      <w:r w:rsidRPr="00F215B1">
        <w:t>of</w:t>
      </w:r>
      <w:proofErr w:type="spellEnd"/>
      <w:r w:rsidRPr="00F215B1">
        <w:t xml:space="preserve"> </w:t>
      </w:r>
      <w:proofErr w:type="spellStart"/>
      <w:r w:rsidRPr="00F215B1">
        <w:t>free</w:t>
      </w:r>
      <w:proofErr w:type="spellEnd"/>
      <w:r w:rsidRPr="00F215B1">
        <w:t xml:space="preserve">-text </w:t>
      </w:r>
      <w:proofErr w:type="spellStart"/>
      <w:r w:rsidRPr="00F215B1">
        <w:t>medical</w:t>
      </w:r>
      <w:proofErr w:type="spellEnd"/>
      <w:r w:rsidRPr="00F215B1">
        <w:t xml:space="preserve"> </w:t>
      </w:r>
      <w:proofErr w:type="spellStart"/>
      <w:r w:rsidRPr="00F215B1">
        <w:t>records</w:t>
      </w:r>
      <w:proofErr w:type="spellEnd"/>
      <w:r w:rsidRPr="00F215B1">
        <w:t xml:space="preserve">. BMC Med </w:t>
      </w:r>
      <w:proofErr w:type="spellStart"/>
      <w:r w:rsidRPr="00F215B1">
        <w:t>Inform</w:t>
      </w:r>
      <w:proofErr w:type="spellEnd"/>
      <w:r w:rsidRPr="00F215B1">
        <w:t xml:space="preserve"> </w:t>
      </w:r>
      <w:proofErr w:type="spellStart"/>
      <w:r w:rsidRPr="00F215B1">
        <w:t>Decis</w:t>
      </w:r>
      <w:proofErr w:type="spellEnd"/>
      <w:r w:rsidRPr="00F215B1">
        <w:t xml:space="preserve"> Mak, </w:t>
      </w:r>
      <w:hyperlink r:id="rId35" w:history="1">
        <w:r w:rsidRPr="00F215B1">
          <w:rPr>
            <w:rStyle w:val="Hyperlink"/>
          </w:rPr>
          <w:t>https://www.ncbi.nlm.nih.gov/pmc/articles/PMC2526997/pdf/1472-6947-8-32.pdf</w:t>
        </w:r>
      </w:hyperlink>
    </w:p>
    <w:p w14:paraId="54056391" w14:textId="77777777" w:rsidR="001D0CB2" w:rsidRDefault="00E27FE2">
      <w:pPr>
        <w:pStyle w:val="Listenabsatz"/>
        <w:numPr>
          <w:ilvl w:val="0"/>
          <w:numId w:val="7"/>
        </w:numPr>
      </w:pPr>
      <w:r>
        <w:t xml:space="preserve">Neubauer </w:t>
      </w:r>
      <w:r w:rsidRPr="006C6D59">
        <w:t>et al.</w:t>
      </w:r>
      <w:r>
        <w:t xml:space="preserve"> (2010) Pseudonymisierung für die datenschutzkonforme Speicherung medizinischer Daten. Elektrotechnik &amp; Informationstechnik: 135–142</w:t>
      </w:r>
    </w:p>
    <w:p w14:paraId="6DC985F8" w14:textId="77777777" w:rsidR="001D0CB2" w:rsidRPr="00271C2A" w:rsidRDefault="00E27FE2">
      <w:pPr>
        <w:pStyle w:val="Listenabsatz"/>
        <w:numPr>
          <w:ilvl w:val="0"/>
          <w:numId w:val="7"/>
        </w:numPr>
      </w:pPr>
      <w:proofErr w:type="spellStart"/>
      <w:r w:rsidRPr="00F215B1">
        <w:t>Poulis</w:t>
      </w:r>
      <w:proofErr w:type="spellEnd"/>
      <w:r w:rsidRPr="00F215B1">
        <w:t xml:space="preserve"> et al. (2017) </w:t>
      </w:r>
      <w:proofErr w:type="spellStart"/>
      <w:r w:rsidRPr="00F215B1">
        <w:t>Anonymizing</w:t>
      </w:r>
      <w:proofErr w:type="spellEnd"/>
      <w:r w:rsidRPr="00F215B1">
        <w:t xml:space="preserve"> </w:t>
      </w:r>
      <w:proofErr w:type="spellStart"/>
      <w:r w:rsidRPr="00F215B1">
        <w:t>datasets</w:t>
      </w:r>
      <w:proofErr w:type="spellEnd"/>
      <w:r w:rsidRPr="00F215B1">
        <w:t xml:space="preserve"> </w:t>
      </w:r>
      <w:proofErr w:type="spellStart"/>
      <w:r w:rsidRPr="00F215B1">
        <w:t>with</w:t>
      </w:r>
      <w:proofErr w:type="spellEnd"/>
      <w:r w:rsidRPr="00F215B1">
        <w:t xml:space="preserve"> </w:t>
      </w:r>
      <w:proofErr w:type="spellStart"/>
      <w:r w:rsidRPr="00F215B1">
        <w:t>demographics</w:t>
      </w:r>
      <w:proofErr w:type="spellEnd"/>
      <w:r w:rsidRPr="00F215B1">
        <w:t xml:space="preserve"> </w:t>
      </w:r>
      <w:proofErr w:type="spellStart"/>
      <w:r w:rsidRPr="00F215B1">
        <w:t>and</w:t>
      </w:r>
      <w:proofErr w:type="spellEnd"/>
      <w:r w:rsidRPr="00F215B1">
        <w:t xml:space="preserve"> </w:t>
      </w:r>
      <w:proofErr w:type="spellStart"/>
      <w:r w:rsidRPr="00F215B1">
        <w:t>diagnosis</w:t>
      </w:r>
      <w:proofErr w:type="spellEnd"/>
      <w:r w:rsidRPr="00F215B1">
        <w:t xml:space="preserve"> </w:t>
      </w:r>
      <w:proofErr w:type="spellStart"/>
      <w:r w:rsidRPr="00F215B1">
        <w:t>codes</w:t>
      </w:r>
      <w:proofErr w:type="spellEnd"/>
      <w:r w:rsidRPr="00F215B1">
        <w:t xml:space="preserve"> in </w:t>
      </w:r>
      <w:proofErr w:type="spellStart"/>
      <w:r w:rsidRPr="00F215B1">
        <w:t>the</w:t>
      </w:r>
      <w:proofErr w:type="spellEnd"/>
      <w:r w:rsidRPr="00F215B1">
        <w:t xml:space="preserve"> </w:t>
      </w:r>
      <w:proofErr w:type="spellStart"/>
      <w:r w:rsidRPr="00F215B1">
        <w:t>presence</w:t>
      </w:r>
      <w:proofErr w:type="spellEnd"/>
      <w:r w:rsidRPr="00F215B1">
        <w:t xml:space="preserve"> </w:t>
      </w:r>
      <w:proofErr w:type="spellStart"/>
      <w:r w:rsidRPr="00F215B1">
        <w:t>of</w:t>
      </w:r>
      <w:proofErr w:type="spellEnd"/>
      <w:r w:rsidRPr="00F215B1">
        <w:t xml:space="preserve"> </w:t>
      </w:r>
      <w:proofErr w:type="spellStart"/>
      <w:r w:rsidRPr="00F215B1">
        <w:t>utility</w:t>
      </w:r>
      <w:proofErr w:type="spellEnd"/>
      <w:r w:rsidRPr="00F215B1">
        <w:t xml:space="preserve"> </w:t>
      </w:r>
      <w:proofErr w:type="spellStart"/>
      <w:r w:rsidRPr="00F215B1">
        <w:t>constraints</w:t>
      </w:r>
      <w:proofErr w:type="spellEnd"/>
      <w:r w:rsidRPr="00F215B1">
        <w:t xml:space="preserve">. </w:t>
      </w:r>
      <w:r w:rsidRPr="00271C2A">
        <w:t xml:space="preserve">Journal </w:t>
      </w:r>
      <w:proofErr w:type="spellStart"/>
      <w:r w:rsidRPr="00271C2A">
        <w:t>of</w:t>
      </w:r>
      <w:proofErr w:type="spellEnd"/>
      <w:r w:rsidRPr="00271C2A">
        <w:t xml:space="preserve"> </w:t>
      </w:r>
      <w:r w:rsidRPr="006C6D59">
        <w:t>Biomedical</w:t>
      </w:r>
      <w:r w:rsidRPr="00271C2A">
        <w:t xml:space="preserve"> </w:t>
      </w:r>
      <w:proofErr w:type="spellStart"/>
      <w:r w:rsidRPr="006C6D59">
        <w:t>Informatics</w:t>
      </w:r>
      <w:proofErr w:type="spellEnd"/>
      <w:r w:rsidRPr="00271C2A">
        <w:t>: 76-96</w:t>
      </w:r>
    </w:p>
    <w:p w14:paraId="67256231" w14:textId="77777777" w:rsidR="001D0CB2" w:rsidRPr="00F215B1" w:rsidRDefault="00E27FE2">
      <w:pPr>
        <w:pStyle w:val="Listenabsatz"/>
        <w:numPr>
          <w:ilvl w:val="0"/>
          <w:numId w:val="7"/>
        </w:numPr>
      </w:pPr>
      <w:proofErr w:type="spellStart"/>
      <w:r w:rsidRPr="00F215B1">
        <w:t>Raisaro</w:t>
      </w:r>
      <w:proofErr w:type="spellEnd"/>
      <w:r w:rsidRPr="00F215B1">
        <w:t xml:space="preserve"> et al. (2017) </w:t>
      </w:r>
      <w:proofErr w:type="spellStart"/>
      <w:r w:rsidRPr="00F215B1">
        <w:t>Addressing</w:t>
      </w:r>
      <w:proofErr w:type="spellEnd"/>
      <w:r w:rsidRPr="00F215B1">
        <w:t xml:space="preserve"> </w:t>
      </w:r>
      <w:proofErr w:type="spellStart"/>
      <w:r w:rsidRPr="00F215B1">
        <w:t>Beacon</w:t>
      </w:r>
      <w:proofErr w:type="spellEnd"/>
      <w:r w:rsidRPr="00F215B1">
        <w:t xml:space="preserve"> </w:t>
      </w:r>
      <w:proofErr w:type="spellStart"/>
      <w:r w:rsidRPr="00F215B1">
        <w:t>re-identification</w:t>
      </w:r>
      <w:proofErr w:type="spellEnd"/>
      <w:r w:rsidRPr="00F215B1">
        <w:t xml:space="preserve"> </w:t>
      </w:r>
      <w:proofErr w:type="spellStart"/>
      <w:r w:rsidRPr="00F215B1">
        <w:t>attacks</w:t>
      </w:r>
      <w:proofErr w:type="spellEnd"/>
      <w:r w:rsidRPr="00F215B1">
        <w:t xml:space="preserve">: </w:t>
      </w:r>
      <w:proofErr w:type="spellStart"/>
      <w:r w:rsidRPr="00F215B1">
        <w:t>quantification</w:t>
      </w:r>
      <w:proofErr w:type="spellEnd"/>
      <w:r w:rsidRPr="00F215B1">
        <w:t xml:space="preserve"> </w:t>
      </w:r>
      <w:proofErr w:type="spellStart"/>
      <w:r w:rsidRPr="00F215B1">
        <w:t>and</w:t>
      </w:r>
      <w:proofErr w:type="spellEnd"/>
      <w:r w:rsidRPr="00F215B1">
        <w:t xml:space="preserve"> </w:t>
      </w:r>
      <w:proofErr w:type="spellStart"/>
      <w:r w:rsidRPr="00F215B1">
        <w:t>mitigation</w:t>
      </w:r>
      <w:proofErr w:type="spellEnd"/>
      <w:r w:rsidRPr="00F215B1">
        <w:t xml:space="preserve"> </w:t>
      </w:r>
      <w:proofErr w:type="spellStart"/>
      <w:r w:rsidRPr="00F215B1">
        <w:t>of</w:t>
      </w:r>
      <w:proofErr w:type="spellEnd"/>
      <w:r w:rsidRPr="00F215B1">
        <w:t xml:space="preserve"> </w:t>
      </w:r>
      <w:proofErr w:type="spellStart"/>
      <w:r w:rsidRPr="00F215B1">
        <w:t>privacy</w:t>
      </w:r>
      <w:proofErr w:type="spellEnd"/>
      <w:r w:rsidRPr="00F215B1">
        <w:t xml:space="preserve"> </w:t>
      </w:r>
      <w:proofErr w:type="spellStart"/>
      <w:r w:rsidRPr="00F215B1">
        <w:t>risks</w:t>
      </w:r>
      <w:proofErr w:type="spellEnd"/>
      <w:r w:rsidRPr="00F215B1">
        <w:t xml:space="preserve">. JAMIA: 1-8, </w:t>
      </w:r>
      <w:proofErr w:type="spellStart"/>
      <w:r w:rsidRPr="00F215B1">
        <w:t>doi</w:t>
      </w:r>
      <w:proofErr w:type="spellEnd"/>
      <w:r w:rsidRPr="00F215B1">
        <w:t>: 10.1093/</w:t>
      </w:r>
      <w:proofErr w:type="spellStart"/>
      <w:r w:rsidRPr="00F215B1">
        <w:t>jamia</w:t>
      </w:r>
      <w:proofErr w:type="spellEnd"/>
      <w:r w:rsidRPr="00F215B1">
        <w:t>/ocw167</w:t>
      </w:r>
    </w:p>
    <w:p w14:paraId="2034EF9C" w14:textId="77777777" w:rsidR="001D0CB2" w:rsidRDefault="00E27FE2">
      <w:pPr>
        <w:pStyle w:val="Listenabsatz"/>
        <w:numPr>
          <w:ilvl w:val="0"/>
          <w:numId w:val="7"/>
        </w:numPr>
      </w:pPr>
      <w:r w:rsidRPr="00F215B1">
        <w:t>Rosemann</w:t>
      </w:r>
      <w:r>
        <w:t xml:space="preserve"> M, </w:t>
      </w:r>
      <w:proofErr w:type="spellStart"/>
      <w:r w:rsidRPr="00F215B1">
        <w:t>Vorgrimler</w:t>
      </w:r>
      <w:proofErr w:type="spellEnd"/>
      <w:r>
        <w:t xml:space="preserve"> D, Lenz R. (2004) </w:t>
      </w:r>
      <w:r w:rsidRPr="00F215B1">
        <w:t>Erste</w:t>
      </w:r>
      <w:r>
        <w:t xml:space="preserve"> Ergebnisse faktischer Anonymisierung wirtschaftsstatistischer Einzeldaten. Allgemeines </w:t>
      </w:r>
      <w:r w:rsidRPr="00F215B1">
        <w:t>Statistisches</w:t>
      </w:r>
      <w:r>
        <w:t xml:space="preserve"> Archiv: 73–99</w:t>
      </w:r>
    </w:p>
    <w:p w14:paraId="29D8E62D" w14:textId="77777777" w:rsidR="001D0CB2" w:rsidRDefault="00E27FE2">
      <w:pPr>
        <w:pStyle w:val="Listenabsatz"/>
        <w:numPr>
          <w:ilvl w:val="0"/>
          <w:numId w:val="7"/>
        </w:numPr>
      </w:pPr>
      <w:proofErr w:type="spellStart"/>
      <w:r w:rsidRPr="00F215B1">
        <w:t>RoßnagelA</w:t>
      </w:r>
      <w:proofErr w:type="spellEnd"/>
      <w:r>
        <w:t xml:space="preserve">. (2018) Pseudonymisierung personenbezogener Daten. </w:t>
      </w:r>
      <w:r w:rsidRPr="00F215B1">
        <w:t>ZD</w:t>
      </w:r>
      <w:r>
        <w:t>: 243-247</w:t>
      </w:r>
    </w:p>
    <w:p w14:paraId="01031029" w14:textId="77777777" w:rsidR="001D0CB2" w:rsidRDefault="00E27FE2">
      <w:pPr>
        <w:pStyle w:val="Listenabsatz"/>
        <w:numPr>
          <w:ilvl w:val="0"/>
          <w:numId w:val="7"/>
        </w:numPr>
      </w:pPr>
      <w:proofErr w:type="spellStart"/>
      <w:r w:rsidRPr="00F215B1">
        <w:t>Shringarpure</w:t>
      </w:r>
      <w:proofErr w:type="spellEnd"/>
      <w:r w:rsidRPr="00F215B1">
        <w:t xml:space="preserve"> S, Bustamante C. (2015) Privacy </w:t>
      </w:r>
      <w:proofErr w:type="spellStart"/>
      <w:r w:rsidRPr="00F215B1">
        <w:t>Risks</w:t>
      </w:r>
      <w:proofErr w:type="spellEnd"/>
      <w:r w:rsidRPr="00F215B1">
        <w:t xml:space="preserve"> </w:t>
      </w:r>
      <w:proofErr w:type="spellStart"/>
      <w:r w:rsidRPr="00F215B1">
        <w:t>from</w:t>
      </w:r>
      <w:proofErr w:type="spellEnd"/>
      <w:r w:rsidRPr="00F215B1">
        <w:t xml:space="preserve"> </w:t>
      </w:r>
      <w:proofErr w:type="spellStart"/>
      <w:r w:rsidRPr="00F215B1">
        <w:t>Genomic</w:t>
      </w:r>
      <w:proofErr w:type="spellEnd"/>
      <w:r w:rsidRPr="00F215B1">
        <w:t xml:space="preserve"> Data-Sharing </w:t>
      </w:r>
      <w:proofErr w:type="spellStart"/>
      <w:r w:rsidRPr="00F215B1">
        <w:t>Beacons</w:t>
      </w:r>
      <w:proofErr w:type="spellEnd"/>
      <w:r w:rsidRPr="00F215B1">
        <w:t>. The</w:t>
      </w:r>
      <w:r>
        <w:t xml:space="preserve"> American Journal </w:t>
      </w:r>
      <w:proofErr w:type="spellStart"/>
      <w:r>
        <w:t>of</w:t>
      </w:r>
      <w:proofErr w:type="spellEnd"/>
      <w:r>
        <w:t xml:space="preserve"> </w:t>
      </w:r>
      <w:r w:rsidRPr="00F215B1">
        <w:t>Human</w:t>
      </w:r>
      <w:r>
        <w:t xml:space="preserve"> </w:t>
      </w:r>
      <w:proofErr w:type="spellStart"/>
      <w:r w:rsidRPr="00F215B1">
        <w:t>Genetics</w:t>
      </w:r>
      <w:proofErr w:type="spellEnd"/>
      <w:r>
        <w:t>: 631–646</w:t>
      </w:r>
    </w:p>
    <w:p w14:paraId="6D8FB721" w14:textId="77777777" w:rsidR="001D0CB2" w:rsidRDefault="00E27FE2">
      <w:pPr>
        <w:pStyle w:val="Listenabsatz"/>
        <w:numPr>
          <w:ilvl w:val="0"/>
          <w:numId w:val="7"/>
        </w:numPr>
      </w:pPr>
      <w:r w:rsidRPr="00271C2A">
        <w:t xml:space="preserve">Wallace </w:t>
      </w:r>
      <w:r w:rsidRPr="00F215B1">
        <w:t>SE</w:t>
      </w:r>
      <w:r w:rsidRPr="00271C2A">
        <w:t xml:space="preserve">. </w:t>
      </w:r>
      <w:r w:rsidRPr="00F215B1">
        <w:t xml:space="preserve">(2016) </w:t>
      </w:r>
      <w:proofErr w:type="spellStart"/>
      <w:r w:rsidRPr="00F215B1">
        <w:t>What</w:t>
      </w:r>
      <w:proofErr w:type="spellEnd"/>
      <w:r w:rsidRPr="00F215B1">
        <w:t xml:space="preserve"> </w:t>
      </w:r>
      <w:proofErr w:type="spellStart"/>
      <w:r w:rsidRPr="00F215B1">
        <w:t>Does</w:t>
      </w:r>
      <w:proofErr w:type="spellEnd"/>
      <w:r w:rsidRPr="00F215B1">
        <w:t xml:space="preserve"> </w:t>
      </w:r>
      <w:proofErr w:type="spellStart"/>
      <w:r w:rsidRPr="00F215B1">
        <w:t>Anonymization</w:t>
      </w:r>
      <w:proofErr w:type="spellEnd"/>
      <w:r w:rsidRPr="00F215B1">
        <w:t xml:space="preserve"> </w:t>
      </w:r>
      <w:proofErr w:type="spellStart"/>
      <w:r w:rsidRPr="00F215B1">
        <w:t>Mean</w:t>
      </w:r>
      <w:proofErr w:type="spellEnd"/>
      <w:r w:rsidRPr="00F215B1">
        <w:t xml:space="preserve">? </w:t>
      </w:r>
      <w:proofErr w:type="spellStart"/>
      <w:r w:rsidRPr="00F215B1">
        <w:t>DataSHIELD</w:t>
      </w:r>
      <w:proofErr w:type="spellEnd"/>
      <w:r w:rsidRPr="00F215B1">
        <w:t xml:space="preserve"> </w:t>
      </w:r>
      <w:proofErr w:type="spellStart"/>
      <w:r w:rsidRPr="00F215B1">
        <w:t>and</w:t>
      </w:r>
      <w:proofErr w:type="spellEnd"/>
      <w:r w:rsidRPr="00F215B1">
        <w:t xml:space="preserve"> </w:t>
      </w:r>
      <w:proofErr w:type="spellStart"/>
      <w:r w:rsidRPr="00F215B1">
        <w:t>the</w:t>
      </w:r>
      <w:proofErr w:type="spellEnd"/>
      <w:r w:rsidRPr="00F215B1">
        <w:t xml:space="preserve"> Need </w:t>
      </w:r>
      <w:proofErr w:type="spellStart"/>
      <w:r w:rsidRPr="00F215B1">
        <w:t>for</w:t>
      </w:r>
      <w:proofErr w:type="spellEnd"/>
      <w:r w:rsidRPr="00F215B1">
        <w:t xml:space="preserve"> Consensus on </w:t>
      </w:r>
      <w:proofErr w:type="spellStart"/>
      <w:r w:rsidRPr="00F215B1">
        <w:t>Anonymization</w:t>
      </w:r>
      <w:proofErr w:type="spellEnd"/>
      <w:r w:rsidRPr="00F215B1">
        <w:t xml:space="preserve"> </w:t>
      </w:r>
      <w:proofErr w:type="spellStart"/>
      <w:r w:rsidRPr="00F215B1">
        <w:t>Terminology</w:t>
      </w:r>
      <w:proofErr w:type="spellEnd"/>
      <w:r w:rsidRPr="00F215B1">
        <w:t xml:space="preserve">. </w:t>
      </w:r>
      <w:proofErr w:type="spellStart"/>
      <w:r w:rsidRPr="00F215B1">
        <w:t>Biopreservation</w:t>
      </w:r>
      <w:proofErr w:type="spellEnd"/>
      <w:r>
        <w:t xml:space="preserve"> </w:t>
      </w:r>
      <w:proofErr w:type="spellStart"/>
      <w:r w:rsidRPr="006C6D59">
        <w:t>and</w:t>
      </w:r>
      <w:proofErr w:type="spellEnd"/>
      <w:r>
        <w:t xml:space="preserve"> Biobanking: 224-230</w:t>
      </w:r>
    </w:p>
    <w:p w14:paraId="3D715CB5" w14:textId="77777777" w:rsidR="001D0CB2" w:rsidRDefault="00E27FE2">
      <w:pPr>
        <w:pStyle w:val="Listenabsatz"/>
        <w:numPr>
          <w:ilvl w:val="0"/>
          <w:numId w:val="7"/>
        </w:numPr>
      </w:pPr>
      <w:proofErr w:type="spellStart"/>
      <w:r w:rsidRPr="00F215B1">
        <w:t>Wójtowicz</w:t>
      </w:r>
      <w:proofErr w:type="spellEnd"/>
      <w:r>
        <w:t xml:space="preserve"> M, </w:t>
      </w:r>
      <w:proofErr w:type="spellStart"/>
      <w:r w:rsidRPr="00F215B1">
        <w:t>Cebulla</w:t>
      </w:r>
      <w:proofErr w:type="spellEnd"/>
      <w:r>
        <w:t xml:space="preserve"> M. (2017) Anonymisierung nach der </w:t>
      </w:r>
      <w:r w:rsidRPr="00F215B1">
        <w:t>DSGVO</w:t>
      </w:r>
      <w:r>
        <w:t xml:space="preserve">. </w:t>
      </w:r>
      <w:proofErr w:type="spellStart"/>
      <w:r w:rsidRPr="00F215B1">
        <w:t>PinG</w:t>
      </w:r>
      <w:proofErr w:type="spellEnd"/>
      <w:r>
        <w:t>: 186-192</w:t>
      </w:r>
    </w:p>
    <w:p w14:paraId="40FE6A8A" w14:textId="77777777" w:rsidR="001D0CB2" w:rsidRDefault="001D0CB2"/>
    <w:sectPr w:rsidR="001D0CB2">
      <w:headerReference w:type="default" r:id="rId36"/>
      <w:footerReference w:type="default" r:id="rId37"/>
      <w:pgSz w:w="11906" w:h="16838"/>
      <w:pgMar w:top="1417" w:right="1417" w:bottom="1134"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44E8F" w15:done="0"/>
  <w15:commentEx w15:paraId="34D6B7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DB807" w14:textId="77777777" w:rsidR="00ED4359" w:rsidRDefault="00ED4359">
      <w:pPr>
        <w:spacing w:after="0" w:line="240" w:lineRule="auto"/>
      </w:pPr>
      <w:r>
        <w:separator/>
      </w:r>
    </w:p>
  </w:endnote>
  <w:endnote w:type="continuationSeparator" w:id="0">
    <w:p w14:paraId="51D6FE6C" w14:textId="77777777" w:rsidR="00ED4359" w:rsidRDefault="00ED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le-GroteskNor">
    <w:altName w:val="Times New Roman"/>
    <w:panose1 w:val="00000000000000000000"/>
    <w:charset w:val="00"/>
    <w:family w:val="auto"/>
    <w:pitch w:val="variable"/>
    <w:sig w:usb0="800000AF" w:usb1="0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693EA" w14:textId="77777777" w:rsidR="00591FB4" w:rsidRDefault="00591F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F95C" w14:textId="77777777" w:rsidR="00591FB4" w:rsidRDefault="00591F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EBB7" w14:textId="77777777" w:rsidR="00591FB4" w:rsidRDefault="00591FB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591FB4" w14:paraId="3CAA3020" w14:textId="77777777">
      <w:tc>
        <w:tcPr>
          <w:tcW w:w="9212" w:type="dxa"/>
          <w:tcBorders>
            <w:top w:val="single" w:sz="4" w:space="0" w:color="auto"/>
            <w:left w:val="nil"/>
            <w:bottom w:val="nil"/>
            <w:right w:val="nil"/>
          </w:tcBorders>
        </w:tcPr>
        <w:p w14:paraId="0050F3EB" w14:textId="77777777" w:rsidR="00591FB4" w:rsidRDefault="00591FB4">
          <w:pPr>
            <w:pStyle w:val="Fuzeile"/>
            <w:jc w:val="center"/>
            <w:rPr>
              <w:sz w:val="18"/>
              <w:szCs w:val="18"/>
            </w:rPr>
          </w:pPr>
          <w:r>
            <w:rPr>
              <w:sz w:val="18"/>
              <w:szCs w:val="18"/>
            </w:rPr>
            <w:t xml:space="preserve">Seite </w:t>
          </w:r>
          <w:r>
            <w:rPr>
              <w:b/>
              <w:sz w:val="18"/>
              <w:szCs w:val="18"/>
            </w:rPr>
            <w:fldChar w:fldCharType="begin"/>
          </w:r>
          <w:r>
            <w:rPr>
              <w:b/>
              <w:sz w:val="18"/>
              <w:szCs w:val="18"/>
            </w:rPr>
            <w:instrText>PAGE  \* Arabic  \* MERGEFORMAT</w:instrText>
          </w:r>
          <w:r>
            <w:rPr>
              <w:b/>
              <w:sz w:val="18"/>
              <w:szCs w:val="18"/>
            </w:rPr>
            <w:fldChar w:fldCharType="separate"/>
          </w:r>
          <w:r w:rsidR="00C01946">
            <w:rPr>
              <w:b/>
              <w:noProof/>
              <w:sz w:val="18"/>
              <w:szCs w:val="18"/>
            </w:rPr>
            <w:t>41</w:t>
          </w:r>
          <w:r>
            <w:rPr>
              <w:b/>
              <w:sz w:val="18"/>
              <w:szCs w:val="18"/>
            </w:rPr>
            <w:fldChar w:fldCharType="end"/>
          </w:r>
          <w:r>
            <w:rPr>
              <w:sz w:val="18"/>
              <w:szCs w:val="18"/>
            </w:rPr>
            <w:t xml:space="preserve"> von </w:t>
          </w:r>
          <w:r>
            <w:rPr>
              <w:b/>
              <w:sz w:val="18"/>
              <w:szCs w:val="18"/>
            </w:rPr>
            <w:fldChar w:fldCharType="begin"/>
          </w:r>
          <w:r>
            <w:rPr>
              <w:b/>
              <w:sz w:val="18"/>
              <w:szCs w:val="18"/>
            </w:rPr>
            <w:instrText>NUMPAGES  \* Arabic  \* MERGEFORMAT</w:instrText>
          </w:r>
          <w:r>
            <w:rPr>
              <w:b/>
              <w:sz w:val="18"/>
              <w:szCs w:val="18"/>
            </w:rPr>
            <w:fldChar w:fldCharType="separate"/>
          </w:r>
          <w:r w:rsidR="00C01946">
            <w:rPr>
              <w:b/>
              <w:noProof/>
              <w:sz w:val="18"/>
              <w:szCs w:val="18"/>
            </w:rPr>
            <w:t>43</w:t>
          </w:r>
          <w:r>
            <w:rPr>
              <w:b/>
              <w:sz w:val="18"/>
              <w:szCs w:val="18"/>
            </w:rPr>
            <w:fldChar w:fldCharType="end"/>
          </w:r>
        </w:p>
      </w:tc>
    </w:tr>
  </w:tbl>
  <w:p w14:paraId="6805067A" w14:textId="77777777" w:rsidR="00591FB4" w:rsidRDefault="00591F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A625" w14:textId="77777777" w:rsidR="00ED4359" w:rsidRDefault="00ED4359">
      <w:pPr>
        <w:spacing w:after="0" w:line="240" w:lineRule="auto"/>
      </w:pPr>
      <w:r>
        <w:separator/>
      </w:r>
    </w:p>
  </w:footnote>
  <w:footnote w:type="continuationSeparator" w:id="0">
    <w:p w14:paraId="6D34256A" w14:textId="77777777" w:rsidR="00ED4359" w:rsidRDefault="00ED4359">
      <w:pPr>
        <w:spacing w:after="0" w:line="240" w:lineRule="auto"/>
      </w:pPr>
      <w:r>
        <w:continuationSeparator/>
      </w:r>
    </w:p>
  </w:footnote>
  <w:footnote w:id="1">
    <w:p w14:paraId="3D516161" w14:textId="77777777" w:rsidR="00591FB4" w:rsidRDefault="00591FB4">
      <w:pPr>
        <w:pStyle w:val="Funotentext"/>
      </w:pPr>
      <w:r>
        <w:rPr>
          <w:rStyle w:val="Funotenzeichen"/>
        </w:rPr>
        <w:footnoteRef/>
      </w:r>
      <w:r>
        <w:t xml:space="preserve"> Karg M. (2015) Anonymität, Pseudonyme und Personenbezug </w:t>
      </w:r>
      <w:proofErr w:type="spellStart"/>
      <w:r w:rsidRPr="006C6D59">
        <w:t>revisited</w:t>
      </w:r>
      <w:proofErr w:type="spellEnd"/>
      <w:r>
        <w:t xml:space="preserve">. </w:t>
      </w:r>
      <w:proofErr w:type="spellStart"/>
      <w:r w:rsidRPr="006C6D59">
        <w:t>DuD</w:t>
      </w:r>
      <w:proofErr w:type="spellEnd"/>
      <w:r>
        <w:t>: 520-526</w:t>
      </w:r>
    </w:p>
  </w:footnote>
  <w:footnote w:id="2">
    <w:p w14:paraId="76119AFB" w14:textId="77777777" w:rsidR="00591FB4" w:rsidRDefault="00591FB4">
      <w:pPr>
        <w:pStyle w:val="Funotentext"/>
      </w:pPr>
      <w:r>
        <w:rPr>
          <w:rStyle w:val="Funotenzeichen"/>
        </w:rPr>
        <w:footnoteRef/>
      </w:r>
      <w:r>
        <w:t xml:space="preserve"> Artikel-29-Datenschutzgruppe. </w:t>
      </w:r>
      <w:r w:rsidRPr="00F215B1">
        <w:t>WP</w:t>
      </w:r>
      <w:r>
        <w:t xml:space="preserve"> 136 „Stellungnahme 4/2007 zum Begriff 'personenbezogene Daten'“, S. 16: […] ein Name zur Identifizierung einer Person jedoch keineswegs immer notwendig ist“. [</w:t>
      </w:r>
      <w:r w:rsidRPr="00F215B1">
        <w:t>Online</w:t>
      </w:r>
      <w:r>
        <w:t xml:space="preserve">, zitiert am 2018-04-24]; </w:t>
      </w:r>
      <w:r w:rsidRPr="00F215B1">
        <w:t>Verfügbar</w:t>
      </w:r>
      <w:r>
        <w:t xml:space="preserve"> unter </w:t>
      </w:r>
      <w:hyperlink r:id="rId1" w:history="1">
        <w:r>
          <w:rPr>
            <w:rStyle w:val="Hyperlink"/>
          </w:rPr>
          <w:t xml:space="preserve">http://ec.europa.eu/justice/article-29/documentation/opinion-recommen </w:t>
        </w:r>
        <w:proofErr w:type="spellStart"/>
        <w:r w:rsidRPr="00F215B1">
          <w:rPr>
            <w:rStyle w:val="Hyperlink"/>
          </w:rPr>
          <w:t>dation</w:t>
        </w:r>
        <w:proofErr w:type="spellEnd"/>
        <w:r>
          <w:rPr>
            <w:rStyle w:val="Hyperlink"/>
          </w:rPr>
          <w:t>/</w:t>
        </w:r>
        <w:proofErr w:type="spellStart"/>
        <w:r w:rsidRPr="00F215B1">
          <w:rPr>
            <w:rStyle w:val="Hyperlink"/>
          </w:rPr>
          <w:t>files</w:t>
        </w:r>
        <w:proofErr w:type="spellEnd"/>
        <w:r>
          <w:rPr>
            <w:rStyle w:val="Hyperlink"/>
          </w:rPr>
          <w:t>/2007/</w:t>
        </w:r>
        <w:r w:rsidRPr="00F215B1">
          <w:rPr>
            <w:rStyle w:val="Hyperlink"/>
          </w:rPr>
          <w:t>wp136_en.pdf</w:t>
        </w:r>
      </w:hyperlink>
    </w:p>
  </w:footnote>
  <w:footnote w:id="3">
    <w:p w14:paraId="1C7379BC" w14:textId="77777777" w:rsidR="00591FB4" w:rsidRPr="00B32225" w:rsidRDefault="00591FB4">
      <w:pPr>
        <w:pStyle w:val="Funotentext"/>
        <w:rPr>
          <w:lang w:val="en-US"/>
        </w:rPr>
      </w:pPr>
      <w:r>
        <w:rPr>
          <w:rStyle w:val="Funotenzeichen"/>
        </w:rPr>
        <w:footnoteRef/>
      </w:r>
      <w:r w:rsidRPr="00B32225">
        <w:rPr>
          <w:lang w:val="en-US"/>
        </w:rPr>
        <w:t xml:space="preserve"> Voigt P, von </w:t>
      </w:r>
      <w:proofErr w:type="spellStart"/>
      <w:r w:rsidRPr="00B32225">
        <w:rPr>
          <w:lang w:val="en-US"/>
        </w:rPr>
        <w:t>dem</w:t>
      </w:r>
      <w:proofErr w:type="spellEnd"/>
      <w:r w:rsidRPr="00B32225">
        <w:rPr>
          <w:lang w:val="en-US"/>
        </w:rPr>
        <w:t xml:space="preserve"> </w:t>
      </w:r>
      <w:proofErr w:type="spellStart"/>
      <w:r w:rsidRPr="00B32225">
        <w:rPr>
          <w:lang w:val="en-US"/>
        </w:rPr>
        <w:t>Bussche</w:t>
      </w:r>
      <w:proofErr w:type="spellEnd"/>
      <w:r w:rsidRPr="00B32225">
        <w:rPr>
          <w:lang w:val="en-US"/>
        </w:rPr>
        <w:t xml:space="preserve"> A. The EU General Data Protection Regulation (GDPR) - A Practical Guide. Springer Verlag, 2017. ISBN 978-3-319-57958-0. PP 13-16, chapter „2.1.2.2 </w:t>
      </w:r>
      <w:proofErr w:type="spellStart"/>
      <w:r w:rsidRPr="00B32225">
        <w:rPr>
          <w:lang w:val="en-US"/>
        </w:rPr>
        <w:t>Anonymisation</w:t>
      </w:r>
      <w:proofErr w:type="spellEnd"/>
      <w:r w:rsidRPr="00B32225">
        <w:rPr>
          <w:lang w:val="en-US"/>
        </w:rPr>
        <w:t xml:space="preserve"> and </w:t>
      </w:r>
      <w:proofErr w:type="spellStart"/>
      <w:r w:rsidRPr="00B32225">
        <w:rPr>
          <w:lang w:val="en-US"/>
        </w:rPr>
        <w:t>Pseudonymisation</w:t>
      </w:r>
      <w:proofErr w:type="spellEnd"/>
      <w:r w:rsidRPr="00B32225">
        <w:rPr>
          <w:lang w:val="en-US"/>
        </w:rPr>
        <w:t>“: „</w:t>
      </w:r>
      <w:proofErr w:type="spellStart"/>
      <w:r w:rsidRPr="00B32225">
        <w:rPr>
          <w:lang w:val="en-US"/>
        </w:rPr>
        <w:t>Anonymised</w:t>
      </w:r>
      <w:proofErr w:type="spellEnd"/>
      <w:r w:rsidRPr="00B32225">
        <w:rPr>
          <w:lang w:val="en-US"/>
        </w:rPr>
        <w:t xml:space="preserve"> data is either information that does not relate to an </w:t>
      </w:r>
      <w:proofErr w:type="spellStart"/>
      <w:r w:rsidRPr="00B32225">
        <w:rPr>
          <w:lang w:val="en-US"/>
        </w:rPr>
        <w:t>identi</w:t>
      </w:r>
      <w:proofErr w:type="spellEnd"/>
      <w:r>
        <w:t>ﬁ</w:t>
      </w:r>
      <w:proofErr w:type="spellStart"/>
      <w:r w:rsidRPr="00B32225">
        <w:rPr>
          <w:lang w:val="en-US"/>
        </w:rPr>
        <w:t>ed</w:t>
      </w:r>
      <w:proofErr w:type="spellEnd"/>
      <w:r w:rsidRPr="00B32225">
        <w:rPr>
          <w:lang w:val="en-US"/>
        </w:rPr>
        <w:t xml:space="preserve"> or </w:t>
      </w:r>
      <w:proofErr w:type="spellStart"/>
      <w:r w:rsidRPr="00B32225">
        <w:rPr>
          <w:lang w:val="en-US"/>
        </w:rPr>
        <w:t>identi</w:t>
      </w:r>
      <w:proofErr w:type="spellEnd"/>
      <w:r>
        <w:t>ﬁ</w:t>
      </w:r>
      <w:r w:rsidRPr="00B32225">
        <w:rPr>
          <w:lang w:val="en-US"/>
        </w:rPr>
        <w:t xml:space="preserve">able individual or personal data that was rendered anonymous in such a manner that the person is not or no longer </w:t>
      </w:r>
      <w:proofErr w:type="spellStart"/>
      <w:r w:rsidRPr="00B32225">
        <w:rPr>
          <w:lang w:val="en-US"/>
        </w:rPr>
        <w:t>identi</w:t>
      </w:r>
      <w:proofErr w:type="spellEnd"/>
      <w:r>
        <w:t>ﬁ</w:t>
      </w:r>
      <w:r w:rsidRPr="00B32225">
        <w:rPr>
          <w:lang w:val="en-US"/>
        </w:rPr>
        <w:t>able.“</w:t>
      </w:r>
    </w:p>
  </w:footnote>
  <w:footnote w:id="4">
    <w:p w14:paraId="1511E02A" w14:textId="77777777" w:rsidR="00591FB4" w:rsidRDefault="00591FB4">
      <w:pPr>
        <w:pStyle w:val="Funotentext"/>
      </w:pPr>
      <w:r>
        <w:rPr>
          <w:rStyle w:val="Funotenzeichen"/>
        </w:rPr>
        <w:footnoteRef/>
      </w:r>
      <w:r>
        <w:t xml:space="preserve"> Näheres siehe: Ausarbeitung der </w:t>
      </w:r>
      <w:r w:rsidRPr="006C6D59">
        <w:t>GMDS</w:t>
      </w:r>
      <w:r>
        <w:t xml:space="preserve"> AG </w:t>
      </w:r>
      <w:r w:rsidRPr="00F215B1">
        <w:t>DIG</w:t>
      </w:r>
      <w:r>
        <w:t xml:space="preserve"> „Anforderungen der DS-GVO an die Einwilligung“. [</w:t>
      </w:r>
      <w:r w:rsidRPr="00F215B1">
        <w:t>Online</w:t>
      </w:r>
      <w:r>
        <w:t xml:space="preserve">, zitiert am 2018-04-24]; </w:t>
      </w:r>
      <w:r w:rsidRPr="00F215B1">
        <w:t>Verfügbar</w:t>
      </w:r>
      <w:r>
        <w:t xml:space="preserve"> unter </w:t>
      </w:r>
      <w:hyperlink r:id="rId2" w:history="1">
        <w:r w:rsidRPr="00F215B1">
          <w:rPr>
            <w:rStyle w:val="Hyperlink"/>
          </w:rPr>
          <w:t>http://ds-gvo.gesundheitsdatenschutz.org/html/einwilligung.php</w:t>
        </w:r>
      </w:hyperlink>
    </w:p>
  </w:footnote>
  <w:footnote w:id="5">
    <w:p w14:paraId="69D16DF1" w14:textId="77777777" w:rsidR="00591FB4" w:rsidRDefault="00591FB4">
      <w:pPr>
        <w:pStyle w:val="Funotentext"/>
      </w:pPr>
      <w:r>
        <w:rPr>
          <w:rStyle w:val="Funotenzeichen"/>
        </w:rPr>
        <w:footnoteRef/>
      </w:r>
      <w:r>
        <w:t xml:space="preserve"> Zu den Begriffsbestimmungen bzgl. „Forschung“, „wissenschaftliche Forschung“ und „historische Forschung“ siehe Ausarbeitung „Datenschutzrechtliche Anforderungen an die medizinische Forschung unter Berücksichtigung der EU Datenschutz-Grundverordnung (DS-GVO)“, herausgegeben von der Arbeitsgruppe „Datenschutz und IT-Sicherheit im Gesundheitswesen“ der </w:t>
      </w:r>
      <w:r w:rsidRPr="006C6D59">
        <w:t>GMDS</w:t>
      </w:r>
      <w:r>
        <w:t xml:space="preserve"> und der Arbeitsgruppe „Datenschutz und Datensicherheit im Gesundheits- und Sozialwesen“ der </w:t>
      </w:r>
      <w:r w:rsidRPr="006C6D59">
        <w:t>GDD</w:t>
      </w:r>
      <w:r>
        <w:t>. [</w:t>
      </w:r>
      <w:r w:rsidRPr="00F215B1">
        <w:t>Online</w:t>
      </w:r>
      <w:r>
        <w:t xml:space="preserve">, zitiert am 2018-04-25]; </w:t>
      </w:r>
      <w:r w:rsidRPr="00F215B1">
        <w:t>Verfügbar</w:t>
      </w:r>
      <w:r>
        <w:t xml:space="preserve"> unter </w:t>
      </w:r>
      <w:hyperlink r:id="rId3" w:history="1">
        <w:r w:rsidRPr="00F215B1">
          <w:rPr>
            <w:rStyle w:val="Hyperlink"/>
          </w:rPr>
          <w:t>http://ds-gvo.gesundheitsdatenschutz.org/html/forschung.php</w:t>
        </w:r>
      </w:hyperlink>
    </w:p>
  </w:footnote>
  <w:footnote w:id="6">
    <w:p w14:paraId="2273A9B8" w14:textId="77777777" w:rsidR="00591FB4" w:rsidRDefault="00591FB4">
      <w:pPr>
        <w:pStyle w:val="Funotentext"/>
      </w:pPr>
      <w:r>
        <w:rPr>
          <w:rStyle w:val="Funotenzeichen"/>
        </w:rPr>
        <w:footnoteRef/>
      </w:r>
      <w:r>
        <w:t xml:space="preserve"> Beispiele für vorrangige bereichsspezifische Regelungen sind, soweit sie den Vorgaben der DS-GVO entsprechen:</w:t>
      </w:r>
    </w:p>
    <w:p w14:paraId="4A42B24A" w14:textId="77777777" w:rsidR="00591FB4" w:rsidRDefault="00591FB4">
      <w:pPr>
        <w:pStyle w:val="Funotentext"/>
        <w:numPr>
          <w:ilvl w:val="0"/>
          <w:numId w:val="20"/>
        </w:numPr>
      </w:pPr>
      <w:r>
        <w:t>Bundesrecht: Sozialgesetzbücher, Arzneimittelgesetz, Gendiagnostikgesetz usw.</w:t>
      </w:r>
    </w:p>
    <w:p w14:paraId="7BBE8E6E" w14:textId="77777777" w:rsidR="00591FB4" w:rsidRDefault="00591FB4">
      <w:pPr>
        <w:pStyle w:val="Funotentext"/>
        <w:numPr>
          <w:ilvl w:val="0"/>
          <w:numId w:val="20"/>
        </w:numPr>
      </w:pPr>
      <w:r>
        <w:t>Landesrecht: Krankenhausgesetze, Krebsregistergesetze</w:t>
      </w:r>
    </w:p>
  </w:footnote>
  <w:footnote w:id="7">
    <w:p w14:paraId="586B1216" w14:textId="77777777" w:rsidR="00591FB4" w:rsidRDefault="00591FB4">
      <w:pPr>
        <w:pStyle w:val="Funotentext"/>
      </w:pPr>
      <w:r>
        <w:rPr>
          <w:rStyle w:val="Funotenzeichen"/>
        </w:rPr>
        <w:footnoteRef/>
      </w:r>
      <w:r>
        <w:t xml:space="preserve"> Buchner B, </w:t>
      </w:r>
      <w:proofErr w:type="spellStart"/>
      <w:r w:rsidRPr="00F215B1">
        <w:t>Tinnefeld</w:t>
      </w:r>
      <w:proofErr w:type="spellEnd"/>
      <w:r>
        <w:t xml:space="preserve"> M-T. § 27 </w:t>
      </w:r>
      <w:r w:rsidRPr="006C6D59">
        <w:t>BDSG</w:t>
      </w:r>
      <w:r>
        <w:t xml:space="preserve"> </w:t>
      </w:r>
      <w:r w:rsidRPr="00F215B1">
        <w:t>RN.</w:t>
      </w:r>
      <w:r>
        <w:t xml:space="preserve"> 12 in </w:t>
      </w:r>
      <w:proofErr w:type="spellStart"/>
      <w:r w:rsidRPr="00F215B1">
        <w:t>Kühling</w:t>
      </w:r>
      <w:proofErr w:type="spellEnd"/>
      <w:r>
        <w:t>/Buchner, Kommentar zur Datenschutz-Grundverordnung/</w:t>
      </w:r>
      <w:r w:rsidRPr="006C6D59">
        <w:t>BDSG</w:t>
      </w:r>
      <w:r>
        <w:t xml:space="preserve">. </w:t>
      </w:r>
      <w:r w:rsidRPr="00F215B1">
        <w:t>C.H.Beck</w:t>
      </w:r>
      <w:r>
        <w:t xml:space="preserve"> Verlag 2. Auflage 2018. ISBN 978-3-406-71932-5</w:t>
      </w:r>
    </w:p>
  </w:footnote>
  <w:footnote w:id="8">
    <w:p w14:paraId="1EA1C736" w14:textId="77777777" w:rsidR="00591FB4" w:rsidRDefault="00591FB4">
      <w:pPr>
        <w:pStyle w:val="Funotentext"/>
      </w:pPr>
      <w:r>
        <w:rPr>
          <w:rStyle w:val="Funotenzeichen"/>
        </w:rPr>
        <w:footnoteRef/>
      </w:r>
      <w:r>
        <w:t xml:space="preserve"> Buchner B, </w:t>
      </w:r>
      <w:proofErr w:type="spellStart"/>
      <w:r w:rsidRPr="00F215B1">
        <w:t>Tinnefeld</w:t>
      </w:r>
      <w:proofErr w:type="spellEnd"/>
      <w:r>
        <w:t xml:space="preserve"> M-T. § 27 </w:t>
      </w:r>
      <w:r w:rsidRPr="006C6D59">
        <w:t>BDSG</w:t>
      </w:r>
      <w:r>
        <w:t xml:space="preserve"> </w:t>
      </w:r>
      <w:r w:rsidRPr="00F215B1">
        <w:t>RN.</w:t>
      </w:r>
      <w:r>
        <w:t xml:space="preserve"> 24 in </w:t>
      </w:r>
      <w:proofErr w:type="spellStart"/>
      <w:r w:rsidRPr="00F215B1">
        <w:t>Kühling</w:t>
      </w:r>
      <w:proofErr w:type="spellEnd"/>
      <w:r>
        <w:t>/Buchner, Kommentar zur Datenschutz-Grundverordnung/</w:t>
      </w:r>
      <w:r w:rsidRPr="006C6D59">
        <w:t>BDSG</w:t>
      </w:r>
      <w:r>
        <w:t xml:space="preserve">. </w:t>
      </w:r>
      <w:r w:rsidRPr="00F215B1">
        <w:t>C.H.Beck</w:t>
      </w:r>
      <w:r>
        <w:t xml:space="preserve"> Verlag 2. Auflage 2018. ISBN 978-3-406-71932-5</w:t>
      </w:r>
    </w:p>
  </w:footnote>
  <w:footnote w:id="9">
    <w:p w14:paraId="3F6427B4" w14:textId="77777777" w:rsidR="00591FB4" w:rsidRDefault="00591FB4">
      <w:pPr>
        <w:pStyle w:val="Funotentext"/>
      </w:pPr>
      <w:r>
        <w:rPr>
          <w:rStyle w:val="Funotenzeichen"/>
        </w:rPr>
        <w:footnoteRef/>
      </w:r>
      <w:r>
        <w:t xml:space="preserve"> Bzgl. „erforderlich“ siehe Kap. 4.7 „Erforderlichkeit, Notwendigkeit“ in der Ausarbeitung „Datenschutzrechtliche Anforderungen an die medizinische Forschung unter Berücksichtigung der EU Datenschutz-Grundverordnung (DS-GVO)“, herausgegeben von der Arbeitsgruppe „Datenschutz und IT-Sicherheit im Gesundheitswesen“ der </w:t>
      </w:r>
      <w:r w:rsidRPr="006C6D59">
        <w:t>GMDS</w:t>
      </w:r>
      <w:r>
        <w:t xml:space="preserve"> und der Arbeitsgruppe „Datenschutz und Datensicherheit im Gesundheits- und Sozialwesen“ der </w:t>
      </w:r>
      <w:r w:rsidRPr="006C6D59">
        <w:t>GDD</w:t>
      </w:r>
      <w:r>
        <w:t>. [</w:t>
      </w:r>
      <w:r w:rsidRPr="00F215B1">
        <w:t>Online</w:t>
      </w:r>
      <w:r>
        <w:t xml:space="preserve">, zitiert am 2018-04-25]; </w:t>
      </w:r>
      <w:r w:rsidRPr="00F215B1">
        <w:t>Verfügbar</w:t>
      </w:r>
      <w:r>
        <w:t xml:space="preserve"> unter </w:t>
      </w:r>
      <w:hyperlink r:id="rId4" w:history="1">
        <w:r w:rsidRPr="00F215B1">
          <w:rPr>
            <w:rStyle w:val="Hyperlink"/>
          </w:rPr>
          <w:t>http://ds-gvo.gesundheitsdatenschutz.org/html/forschung.php</w:t>
        </w:r>
      </w:hyperlink>
    </w:p>
  </w:footnote>
  <w:footnote w:id="10">
    <w:p w14:paraId="07227496" w14:textId="228D095C" w:rsidR="00591FB4" w:rsidRDefault="00591FB4">
      <w:pPr>
        <w:pStyle w:val="Funotentext"/>
      </w:pPr>
      <w:r>
        <w:rPr>
          <w:rStyle w:val="Funotenzeichen"/>
        </w:rPr>
        <w:footnoteRef/>
      </w:r>
      <w:r>
        <w:t xml:space="preserve"> Hinweise bzgl. des Vorgehens hierzu finden sich in der Praxishilfe „Datenschutz durch Technikgestaltung und durch datenschutzfreundliche Voreinstellungen (Art. 25 DS-GVO)“. [</w:t>
      </w:r>
      <w:r w:rsidRPr="00F215B1">
        <w:t>Online</w:t>
      </w:r>
      <w:r>
        <w:t xml:space="preserve">, zitiert am 2018-06-20]; </w:t>
      </w:r>
      <w:r w:rsidRPr="00F215B1">
        <w:t>Verfügbar</w:t>
      </w:r>
      <w:r>
        <w:t xml:space="preserve"> unter </w:t>
      </w:r>
      <w:hyperlink r:id="rId5" w:history="1">
        <w:r w:rsidRPr="00F215B1">
          <w:rPr>
            <w:rStyle w:val="Hyperlink"/>
          </w:rPr>
          <w:t>http://ds-gvo.gesundheitsdatenschutz.org/html/privacy_design_default.php</w:t>
        </w:r>
      </w:hyperlink>
    </w:p>
  </w:footnote>
  <w:footnote w:id="11">
    <w:p w14:paraId="2E44D206" w14:textId="77777777" w:rsidR="00591FB4" w:rsidRDefault="00591FB4">
      <w:pPr>
        <w:pStyle w:val="Funotentext"/>
      </w:pPr>
      <w:r>
        <w:rPr>
          <w:rStyle w:val="Funotenzeichen"/>
        </w:rPr>
        <w:footnoteRef/>
      </w:r>
      <w:r>
        <w:t xml:space="preserve"> </w:t>
      </w:r>
      <w:r w:rsidRPr="006C6D59">
        <w:t>GMDS</w:t>
      </w:r>
      <w:r>
        <w:t xml:space="preserve"> AG „Datenschutz und IT-Sicherheit im Gesundheitswesen“: Listen gemäß Art. 35 Abs. 4 DS-GVO der deutschen Datenschutz-Aufsichtsbehörden. [</w:t>
      </w:r>
      <w:r w:rsidRPr="00F215B1">
        <w:t>Online</w:t>
      </w:r>
      <w:r>
        <w:t xml:space="preserve">, zitiert am 2018-06-20]; </w:t>
      </w:r>
      <w:r w:rsidRPr="00F215B1">
        <w:t>Verfügbar</w:t>
      </w:r>
      <w:r>
        <w:t xml:space="preserve"> unter </w:t>
      </w:r>
      <w:hyperlink r:id="rId6" w:history="1">
        <w:r w:rsidRPr="00F215B1">
          <w:rPr>
            <w:rStyle w:val="Hyperlink"/>
          </w:rPr>
          <w:t>http://ds-gvo.gesundheitsdatenschutz.org/html/dsfa_liste_aufsichtsbehoerden.php</w:t>
        </w:r>
      </w:hyperlink>
    </w:p>
  </w:footnote>
  <w:footnote w:id="12">
    <w:p w14:paraId="57221B31" w14:textId="742694AC" w:rsidR="00591FB4" w:rsidRDefault="00591FB4">
      <w:pPr>
        <w:pStyle w:val="Funotentext"/>
      </w:pPr>
      <w:r>
        <w:rPr>
          <w:rStyle w:val="Funotenzeichen"/>
        </w:rPr>
        <w:footnoteRef/>
      </w:r>
      <w:r>
        <w:t xml:space="preserve"> Hinweise bzgl. des Vorgehens hierzu finden sich in der Praxishilfe „Datenschutz-Folgenabschätzung gemäß Art. 35 DS-GVO“. [</w:t>
      </w:r>
      <w:r w:rsidRPr="00F215B1">
        <w:t>Online</w:t>
      </w:r>
      <w:r>
        <w:t xml:space="preserve">, zitiert am 2018-06-20]; </w:t>
      </w:r>
      <w:r w:rsidRPr="00F215B1">
        <w:t>Verfügbar</w:t>
      </w:r>
      <w:r>
        <w:t xml:space="preserve"> unter </w:t>
      </w:r>
      <w:hyperlink r:id="rId7" w:history="1">
        <w:r w:rsidRPr="00F215B1">
          <w:rPr>
            <w:rStyle w:val="Hyperlink"/>
          </w:rPr>
          <w:t>http://ds-gvo.gesundheitsdatenschutz.org/html/dsfa.php</w:t>
        </w:r>
      </w:hyperlink>
    </w:p>
  </w:footnote>
  <w:footnote w:id="13">
    <w:p w14:paraId="4A93C264" w14:textId="77777777" w:rsidR="00591FB4" w:rsidRDefault="00591FB4">
      <w:pPr>
        <w:pStyle w:val="Funotentext"/>
      </w:pPr>
      <w:r>
        <w:rPr>
          <w:rStyle w:val="Funotenzeichen"/>
        </w:rPr>
        <w:footnoteRef/>
      </w:r>
      <w:r>
        <w:t xml:space="preserve"> 27. Konferenz vom </w:t>
      </w:r>
      <w:r w:rsidRPr="00F215B1">
        <w:t>14.</w:t>
      </w:r>
      <w:r>
        <w:t xml:space="preserve"> - 16. September 2005 in Montreux. [</w:t>
      </w:r>
      <w:r w:rsidRPr="00F215B1">
        <w:t>Online</w:t>
      </w:r>
      <w:r>
        <w:t xml:space="preserve">, zitiert am 2018-06-20]; </w:t>
      </w:r>
      <w:r w:rsidRPr="00F215B1">
        <w:t>Verfügbar</w:t>
      </w:r>
      <w:r>
        <w:t xml:space="preserve"> unter </w:t>
      </w:r>
      <w:hyperlink r:id="rId8" w:history="1">
        <w:r>
          <w:rPr>
            <w:rStyle w:val="Hyperlink"/>
          </w:rPr>
          <w:t>https://www.lda.brandenburg.de/sixcms/detail.php/bb1.c.272605.de?_aria=ds</w:t>
        </w:r>
      </w:hyperlink>
      <w:r>
        <w:t xml:space="preserve"> bzw. </w:t>
      </w:r>
      <w:proofErr w:type="spellStart"/>
      <w:r w:rsidRPr="00F215B1">
        <w:t>pdf</w:t>
      </w:r>
      <w:proofErr w:type="spellEnd"/>
      <w:r w:rsidRPr="00F215B1">
        <w:t>-Datei</w:t>
      </w:r>
      <w:r>
        <w:t xml:space="preserve"> beim </w:t>
      </w:r>
      <w:proofErr w:type="spellStart"/>
      <w:r w:rsidRPr="00F215B1">
        <w:t>BfDI</w:t>
      </w:r>
      <w:proofErr w:type="spellEnd"/>
      <w:r>
        <w:t xml:space="preserve"> unter </w:t>
      </w:r>
      <w:hyperlink r:id="rId9" w:history="1">
        <w:r w:rsidRPr="00F215B1">
          <w:rPr>
            <w:rStyle w:val="Hyperlink"/>
          </w:rPr>
          <w:t>http://www.bfdi.bund.de/SharedDocs/Publikationen/Entschliessungssammlung/IntDSK/IntDSK2005-MontreuxErklaerungDSInEinerGlobalisiertenWelt.pdf?__blob=publicationFile</w:t>
        </w:r>
      </w:hyperlink>
    </w:p>
  </w:footnote>
  <w:footnote w:id="14">
    <w:p w14:paraId="21955B69" w14:textId="77777777" w:rsidR="00591FB4" w:rsidRDefault="00591FB4">
      <w:pPr>
        <w:pStyle w:val="Funotentext"/>
      </w:pPr>
      <w:r>
        <w:rPr>
          <w:rStyle w:val="Funotenzeichen"/>
        </w:rPr>
        <w:footnoteRef/>
      </w:r>
      <w:r>
        <w:t xml:space="preserve"> Siehe z. B.</w:t>
      </w:r>
    </w:p>
    <w:p w14:paraId="79E07FE4" w14:textId="77777777" w:rsidR="00591FB4" w:rsidRDefault="00591FB4">
      <w:pPr>
        <w:pStyle w:val="Funotentext"/>
        <w:numPr>
          <w:ilvl w:val="0"/>
          <w:numId w:val="29"/>
        </w:numPr>
      </w:pPr>
      <w:r w:rsidRPr="00156DBB">
        <w:rPr>
          <w:lang w:val="en-US"/>
        </w:rPr>
        <w:t xml:space="preserve">McGuire A, Gibbs RA (2006) No longer de-identified. </w:t>
      </w:r>
      <w:r>
        <w:t>Science 312: 370–371</w:t>
      </w:r>
    </w:p>
    <w:p w14:paraId="3497493C" w14:textId="77777777" w:rsidR="00591FB4" w:rsidRDefault="00591FB4">
      <w:pPr>
        <w:pStyle w:val="Funotentext"/>
        <w:numPr>
          <w:ilvl w:val="0"/>
          <w:numId w:val="29"/>
        </w:numPr>
        <w:ind w:left="709"/>
      </w:pPr>
      <w:r w:rsidRPr="00156DBB">
        <w:rPr>
          <w:lang w:val="en-US"/>
        </w:rPr>
        <w:t xml:space="preserve">El </w:t>
      </w:r>
      <w:proofErr w:type="spellStart"/>
      <w:r w:rsidRPr="00156DBB">
        <w:rPr>
          <w:lang w:val="en-US"/>
        </w:rPr>
        <w:t>Emam</w:t>
      </w:r>
      <w:proofErr w:type="spellEnd"/>
      <w:r w:rsidRPr="00156DBB">
        <w:rPr>
          <w:lang w:val="en-US"/>
        </w:rPr>
        <w:t xml:space="preserve"> K. (2011) Methods for the de-</w:t>
      </w:r>
      <w:proofErr w:type="spellStart"/>
      <w:r w:rsidRPr="00156DBB">
        <w:rPr>
          <w:lang w:val="en-US"/>
        </w:rPr>
        <w:t>identication</w:t>
      </w:r>
      <w:proofErr w:type="spellEnd"/>
      <w:r w:rsidRPr="00156DBB">
        <w:rPr>
          <w:lang w:val="en-US"/>
        </w:rPr>
        <w:t xml:space="preserve"> of electronic health records for genomic research. </w:t>
      </w:r>
      <w:r>
        <w:t xml:space="preserve">Genome </w:t>
      </w:r>
      <w:proofErr w:type="spellStart"/>
      <w:r>
        <w:t>Medicine</w:t>
      </w:r>
      <w:proofErr w:type="spellEnd"/>
      <w:r>
        <w:t xml:space="preserve"> 3:25. [Online, zitiert am 2018-06-20]; Verfügbar unter </w:t>
      </w:r>
      <w:hyperlink r:id="rId10" w:history="1">
        <w:r>
          <w:rPr>
            <w:rStyle w:val="Hyperlink"/>
          </w:rPr>
          <w:t xml:space="preserve">http://genomemedicine.com/ </w:t>
        </w:r>
        <w:proofErr w:type="spellStart"/>
        <w:r>
          <w:rPr>
            <w:rStyle w:val="Hyperlink"/>
          </w:rPr>
          <w:t>content</w:t>
        </w:r>
        <w:proofErr w:type="spellEnd"/>
        <w:r>
          <w:rPr>
            <w:rStyle w:val="Hyperlink"/>
          </w:rPr>
          <w:t>/3/4/25</w:t>
        </w:r>
      </w:hyperlink>
    </w:p>
    <w:p w14:paraId="2AE162EE" w14:textId="77777777" w:rsidR="00591FB4" w:rsidRDefault="00591FB4">
      <w:pPr>
        <w:pStyle w:val="Funotentext"/>
        <w:numPr>
          <w:ilvl w:val="0"/>
          <w:numId w:val="29"/>
        </w:numPr>
      </w:pPr>
      <w:r w:rsidRPr="00156DBB">
        <w:rPr>
          <w:lang w:val="en-US"/>
        </w:rPr>
        <w:t xml:space="preserve">El </w:t>
      </w:r>
      <w:proofErr w:type="spellStart"/>
      <w:r w:rsidRPr="00156DBB">
        <w:rPr>
          <w:lang w:val="en-US"/>
        </w:rPr>
        <w:t>Emam</w:t>
      </w:r>
      <w:proofErr w:type="spellEnd"/>
      <w:r w:rsidRPr="00156DBB">
        <w:rPr>
          <w:lang w:val="en-US"/>
        </w:rPr>
        <w:t xml:space="preserve"> K, </w:t>
      </w:r>
      <w:proofErr w:type="spellStart"/>
      <w:r w:rsidRPr="00156DBB">
        <w:rPr>
          <w:lang w:val="en-US"/>
        </w:rPr>
        <w:t>Jonker</w:t>
      </w:r>
      <w:proofErr w:type="spellEnd"/>
      <w:r w:rsidRPr="00156DBB">
        <w:rPr>
          <w:lang w:val="en-US"/>
        </w:rPr>
        <w:t xml:space="preserve"> E, Arbuckle L, </w:t>
      </w:r>
      <w:proofErr w:type="spellStart"/>
      <w:r w:rsidRPr="00156DBB">
        <w:rPr>
          <w:lang w:val="en-US"/>
        </w:rPr>
        <w:t>Malin</w:t>
      </w:r>
      <w:proofErr w:type="spellEnd"/>
      <w:r w:rsidRPr="00156DBB">
        <w:rPr>
          <w:lang w:val="en-US"/>
        </w:rPr>
        <w:t xml:space="preserve"> B (2011) A systematic review of re-identification attacks on health data. </w:t>
      </w:r>
      <w:proofErr w:type="spellStart"/>
      <w:r>
        <w:t>PLoS</w:t>
      </w:r>
      <w:proofErr w:type="spellEnd"/>
      <w:r>
        <w:t xml:space="preserve"> </w:t>
      </w:r>
      <w:proofErr w:type="spellStart"/>
      <w:r>
        <w:t>One</w:t>
      </w:r>
      <w:proofErr w:type="spellEnd"/>
      <w:r>
        <w:t xml:space="preserve"> 2011; 6: e28071. [Online, zitiert am 2018-06-20]; Verfügbar unter </w:t>
      </w:r>
      <w:hyperlink r:id="rId11" w:history="1">
        <w:r>
          <w:rPr>
            <w:rStyle w:val="Hyperlink"/>
          </w:rPr>
          <w:t>https://www.ncbi.nlm.nih.gov/pmc/articles/PMC3229505/</w:t>
        </w:r>
      </w:hyperlink>
    </w:p>
    <w:p w14:paraId="239D2006" w14:textId="77777777" w:rsidR="00591FB4" w:rsidRDefault="00591FB4">
      <w:pPr>
        <w:pStyle w:val="Funotentext"/>
        <w:numPr>
          <w:ilvl w:val="0"/>
          <w:numId w:val="29"/>
        </w:numPr>
      </w:pPr>
      <w:proofErr w:type="spellStart"/>
      <w:r w:rsidRPr="00156DBB">
        <w:rPr>
          <w:lang w:val="en-US"/>
        </w:rPr>
        <w:t>Gymrek</w:t>
      </w:r>
      <w:proofErr w:type="spellEnd"/>
      <w:r w:rsidRPr="00156DBB">
        <w:rPr>
          <w:lang w:val="en-US"/>
        </w:rPr>
        <w:t xml:space="preserve"> M, McGuire AL, Golan D, </w:t>
      </w:r>
      <w:proofErr w:type="spellStart"/>
      <w:r w:rsidRPr="00156DBB">
        <w:rPr>
          <w:lang w:val="en-US"/>
        </w:rPr>
        <w:t>Halperin</w:t>
      </w:r>
      <w:proofErr w:type="spellEnd"/>
      <w:r w:rsidRPr="00156DBB">
        <w:rPr>
          <w:lang w:val="en-US"/>
        </w:rPr>
        <w:t xml:space="preserve"> E, </w:t>
      </w:r>
      <w:proofErr w:type="spellStart"/>
      <w:r w:rsidRPr="00156DBB">
        <w:rPr>
          <w:lang w:val="en-US"/>
        </w:rPr>
        <w:t>Erlich</w:t>
      </w:r>
      <w:proofErr w:type="spellEnd"/>
      <w:r w:rsidRPr="00156DBB">
        <w:rPr>
          <w:lang w:val="en-US"/>
        </w:rPr>
        <w:t xml:space="preserve"> Y (2013) Identifying personal genomes by surname inference. </w:t>
      </w:r>
      <w:r>
        <w:t>Science 339: 321–324</w:t>
      </w:r>
    </w:p>
    <w:p w14:paraId="5DE25EAB" w14:textId="5080F329" w:rsidR="00591FB4" w:rsidRDefault="00591FB4">
      <w:pPr>
        <w:pStyle w:val="Funotentext"/>
      </w:pPr>
      <w:r>
        <w:t xml:space="preserve">Diskussion des Themas z. B. Hansson et al. </w:t>
      </w:r>
      <w:r w:rsidRPr="00156DBB">
        <w:rPr>
          <w:lang w:val="en-US"/>
        </w:rPr>
        <w:t xml:space="preserve">(2016) The risk of re-identification versus the need to identify individuals in rare disease research. </w:t>
      </w:r>
      <w:proofErr w:type="spellStart"/>
      <w:r w:rsidRPr="00E27FE2">
        <w:t>Eur</w:t>
      </w:r>
      <w:proofErr w:type="spellEnd"/>
      <w:r w:rsidRPr="00E27FE2">
        <w:t xml:space="preserve"> J Hum Genet 24(11): 1553–1558. </w:t>
      </w:r>
      <w:r>
        <w:t xml:space="preserve">[Online, zitiert am 2018-06-20]; Verfügbar unter </w:t>
      </w:r>
      <w:hyperlink r:id="rId12" w:history="1">
        <w:r>
          <w:rPr>
            <w:rStyle w:val="Hyperlink"/>
          </w:rPr>
          <w:t>https://www.ncbi.nlm.nih.gov/pmc/articles/PMC5110051/</w:t>
        </w:r>
      </w:hyperlink>
    </w:p>
    <w:p w14:paraId="5056B3D1" w14:textId="77777777" w:rsidR="00591FB4" w:rsidRDefault="00591FB4">
      <w:pPr>
        <w:pStyle w:val="Funotentext"/>
      </w:pPr>
    </w:p>
  </w:footnote>
  <w:footnote w:id="15">
    <w:p w14:paraId="293D2FC5" w14:textId="77777777" w:rsidR="00591FB4" w:rsidRDefault="00591FB4">
      <w:pPr>
        <w:pStyle w:val="Funotentext"/>
      </w:pPr>
      <w:r>
        <w:rPr>
          <w:rStyle w:val="Funotenzeichen"/>
        </w:rPr>
        <w:footnoteRef/>
      </w:r>
      <w:r w:rsidRPr="00FD7008">
        <w:rPr>
          <w:lang w:val="en-US"/>
        </w:rPr>
        <w:t xml:space="preserve"> U.S. Government Publishing Service: H. Rept. 104-736 - HEALTH INSURANCE PORTABILITY AND ACCOUNTABILITY ACT OF 1996. </w:t>
      </w:r>
      <w:r>
        <w:t xml:space="preserve">[Online, zitiert am 2018-06-12]; Verfügbar unter </w:t>
      </w:r>
      <w:hyperlink r:id="rId13" w:history="1">
        <w:r>
          <w:rPr>
            <w:rStyle w:val="Hyperlink"/>
          </w:rPr>
          <w:t>https://www.gpo.gov/fdsys/search/pagedetails.action?granuleId=CRPT-104hrpt736&amp;packageId=CRPT-104hrpt736</w:t>
        </w:r>
      </w:hyperlink>
      <w:r>
        <w:t xml:space="preserve"> b zw. Zusammenfassung unter </w:t>
      </w:r>
      <w:hyperlink r:id="rId14" w:history="1">
        <w:r>
          <w:rPr>
            <w:rStyle w:val="Hyperlink"/>
          </w:rPr>
          <w:t>https://www.hhs.gov/hipaa/for-professionals/privacy/laws-regulations/index.html</w:t>
        </w:r>
      </w:hyperlink>
    </w:p>
  </w:footnote>
  <w:footnote w:id="16">
    <w:p w14:paraId="2B5E600D" w14:textId="77777777" w:rsidR="00591FB4" w:rsidRDefault="00591FB4">
      <w:pPr>
        <w:pStyle w:val="Funotentext"/>
      </w:pPr>
      <w:r>
        <w:rPr>
          <w:rStyle w:val="Funotenzeichen"/>
        </w:rPr>
        <w:footnoteRef/>
      </w:r>
      <w:r w:rsidRPr="00FD7008">
        <w:rPr>
          <w:lang w:val="en-US"/>
        </w:rPr>
        <w:t xml:space="preserve"> §164.514 Other requirements relating to uses and disclosures of protected health information. </w:t>
      </w:r>
      <w:r>
        <w:t xml:space="preserve">[Online, zitiert am 2018-06-12]; Verfügbar unter </w:t>
      </w:r>
      <w:hyperlink r:id="rId15" w:history="1">
        <w:r>
          <w:rPr>
            <w:rStyle w:val="Hyperlink"/>
          </w:rPr>
          <w:t>http://www.hipaasurvivalguide.com/hipaa-regulations/164-514.php</w:t>
        </w:r>
      </w:hyperlink>
    </w:p>
  </w:footnote>
  <w:footnote w:id="17">
    <w:p w14:paraId="5E979123" w14:textId="77777777" w:rsidR="00591FB4" w:rsidRDefault="00591FB4">
      <w:pPr>
        <w:pStyle w:val="Funotentext"/>
      </w:pPr>
      <w:r>
        <w:rPr>
          <w:rStyle w:val="Funotenzeichen"/>
        </w:rPr>
        <w:footnoteRef/>
      </w:r>
      <w:r w:rsidRPr="00FD7008">
        <w:rPr>
          <w:lang w:val="en-US"/>
        </w:rPr>
        <w:t xml:space="preserve"> U.S. Department of Health &amp; Human Services: Guidance Regarding Methods for De-identification of Protected Health Information in Accordance with the Health Insurance Portability and Accountability Act (HIPAA) Privacy Rule. </w:t>
      </w:r>
      <w:r>
        <w:t>[Online, zitiert am 2018-06-12]; Verfügbar unter https://www.hhs.gov/hipaa/for-professionals/privacy/special-topics/de-identification/index.html</w:t>
      </w:r>
    </w:p>
  </w:footnote>
  <w:footnote w:id="18">
    <w:p w14:paraId="77A7D151" w14:textId="77777777" w:rsidR="00591FB4" w:rsidRDefault="00591FB4">
      <w:pPr>
        <w:pStyle w:val="Funotentext"/>
      </w:pPr>
      <w:r>
        <w:rPr>
          <w:rStyle w:val="Funotenzeichen"/>
        </w:rPr>
        <w:footnoteRef/>
      </w:r>
      <w:r>
        <w:t xml:space="preserve"> </w:t>
      </w:r>
      <w:proofErr w:type="spellStart"/>
      <w:r w:rsidRPr="006C6D59">
        <w:t>Hochfellner</w:t>
      </w:r>
      <w:proofErr w:type="spellEnd"/>
      <w:r>
        <w:t xml:space="preserve"> </w:t>
      </w:r>
      <w:r w:rsidRPr="006C6D59">
        <w:t>et al.</w:t>
      </w:r>
      <w:r>
        <w:t xml:space="preserve"> (2012) </w:t>
      </w:r>
      <w:r w:rsidRPr="006C6D59">
        <w:t>FDZ-Methodenreporte</w:t>
      </w:r>
      <w:r>
        <w:t>: Datenschutz am Forschungsdatenzentrum. (Hrsg.: Bundesagentur für Arbeit) [</w:t>
      </w:r>
      <w:r w:rsidRPr="00F215B1">
        <w:t>Online</w:t>
      </w:r>
      <w:r>
        <w:t xml:space="preserve">, zitiert am 2018-04-24]; </w:t>
      </w:r>
      <w:r w:rsidRPr="00F215B1">
        <w:t>Verfügbar</w:t>
      </w:r>
      <w:r>
        <w:t xml:space="preserve"> unter </w:t>
      </w:r>
      <w:hyperlink r:id="rId16" w:history="1">
        <w:r>
          <w:rPr>
            <w:rStyle w:val="Hyperlink"/>
          </w:rPr>
          <w:t>http://doku.iab.de/fdz/reporte/ 2012/</w:t>
        </w:r>
        <w:r w:rsidRPr="006C6D59">
          <w:rPr>
            <w:rStyle w:val="Hyperlink"/>
          </w:rPr>
          <w:t>MR_06-12.pdf</w:t>
        </w:r>
      </w:hyperlink>
    </w:p>
  </w:footnote>
  <w:footnote w:id="19">
    <w:p w14:paraId="7C15F5F3" w14:textId="77777777" w:rsidR="00591FB4" w:rsidRDefault="00591FB4">
      <w:pPr>
        <w:pStyle w:val="Funotentext"/>
      </w:pPr>
      <w:r>
        <w:rPr>
          <w:rStyle w:val="Funotenzeichen"/>
        </w:rPr>
        <w:footnoteRef/>
      </w:r>
      <w:r>
        <w:t xml:space="preserve"> Stefan </w:t>
      </w:r>
      <w:proofErr w:type="spellStart"/>
      <w:r w:rsidRPr="00F215B1">
        <w:t>Drackert</w:t>
      </w:r>
      <w:proofErr w:type="spellEnd"/>
      <w:r>
        <w:t xml:space="preserve"> (2014) Die Risiken der Verarbeitung personenbezogener Daten - Eine Untersuchung zu den Grundlagen des Datenschutzrechts. </w:t>
      </w:r>
      <w:r w:rsidRPr="00F215B1">
        <w:t>Duncker</w:t>
      </w:r>
      <w:r>
        <w:t xml:space="preserve"> &amp; </w:t>
      </w:r>
      <w:r w:rsidRPr="00F215B1">
        <w:t>Humblot</w:t>
      </w:r>
      <w:r>
        <w:t xml:space="preserve"> GmbH. ISBN '978-3-428-1 4730-4</w:t>
      </w:r>
    </w:p>
  </w:footnote>
  <w:footnote w:id="20">
    <w:p w14:paraId="71897046" w14:textId="77777777" w:rsidR="00591FB4" w:rsidRDefault="00591FB4">
      <w:pPr>
        <w:pStyle w:val="Funotentext"/>
      </w:pPr>
      <w:r>
        <w:rPr>
          <w:rStyle w:val="Funotenzeichen"/>
        </w:rPr>
        <w:footnoteRef/>
      </w:r>
      <w:r>
        <w:t xml:space="preserve"> Konferenz der unabhängigen Datenschutzbehörden des Bundes und der Länder (Datenschutzkonferenz - </w:t>
      </w:r>
      <w:r w:rsidRPr="00F215B1">
        <w:t>DSK</w:t>
      </w:r>
      <w:r>
        <w:t>): Kurzpapier 18 „Risiko für die Rechte und Freiheiten natürlicher Personen“. [</w:t>
      </w:r>
      <w:r w:rsidRPr="00F215B1">
        <w:t>Online</w:t>
      </w:r>
      <w:r>
        <w:t xml:space="preserve">, zitiert am 2018-05-18]; </w:t>
      </w:r>
      <w:r w:rsidRPr="00F215B1">
        <w:t>Verfügbar</w:t>
      </w:r>
      <w:r>
        <w:t xml:space="preserve"> unter </w:t>
      </w:r>
      <w:hyperlink r:id="rId17" w:history="1">
        <w:r>
          <w:rPr>
            <w:rStyle w:val="Hyperlink"/>
          </w:rPr>
          <w:t>https://www.ldi.nrw.de/mainmenu_Aktuelles/submenu_EU-Datenschutzreform/ Inhalt/EU-Datenschutzreform/</w:t>
        </w:r>
        <w:r w:rsidRPr="00F215B1">
          <w:rPr>
            <w:rStyle w:val="Hyperlink"/>
          </w:rPr>
          <w:t>KP_18_Risiko.pdf</w:t>
        </w:r>
      </w:hyperlink>
    </w:p>
  </w:footnote>
  <w:footnote w:id="21">
    <w:p w14:paraId="40A51727" w14:textId="7854EFDF" w:rsidR="00591FB4" w:rsidRDefault="00591FB4">
      <w:pPr>
        <w:pStyle w:val="Funotentext"/>
      </w:pPr>
      <w:r>
        <w:rPr>
          <w:rStyle w:val="Funotenzeichen"/>
        </w:rPr>
        <w:footnoteRef/>
      </w:r>
      <w:r>
        <w:t xml:space="preserve"> Siehe auch DIN EN ISO 25237:2017: </w:t>
      </w:r>
      <w:r w:rsidRPr="00F215B1">
        <w:t>Medizinische</w:t>
      </w:r>
      <w:r>
        <w:t xml:space="preserve"> Informatik – Pseudonymisierung. Erhältlich </w:t>
      </w:r>
      <w:r w:rsidRPr="00F215B1">
        <w:t>z. B.</w:t>
      </w:r>
      <w:r>
        <w:t xml:space="preserve"> online beim </w:t>
      </w:r>
      <w:r w:rsidRPr="00F215B1">
        <w:t>Beuth-Verlag</w:t>
      </w:r>
      <w:r>
        <w:t xml:space="preserve"> unter </w:t>
      </w:r>
      <w:hyperlink r:id="rId18" w:history="1">
        <w:r>
          <w:rPr>
            <w:rStyle w:val="Hyperlink"/>
          </w:rPr>
          <w:t>https://www.beuth.de/de/norm/din-en-iso-25237/258588981</w:t>
        </w:r>
      </w:hyperlink>
    </w:p>
  </w:footnote>
  <w:footnote w:id="22">
    <w:p w14:paraId="18761866" w14:textId="5D7B26CC" w:rsidR="00591FB4" w:rsidRDefault="00591FB4">
      <w:pPr>
        <w:pStyle w:val="Funotentext"/>
      </w:pPr>
      <w:r>
        <w:rPr>
          <w:rStyle w:val="Funotenzeichen"/>
        </w:rPr>
        <w:footnoteRef/>
      </w:r>
      <w:r>
        <w:t xml:space="preserve"> Beispiele bzgl. </w:t>
      </w:r>
      <w:proofErr w:type="spellStart"/>
      <w:r w:rsidRPr="00F215B1">
        <w:t>Policy</w:t>
      </w:r>
      <w:proofErr w:type="spellEnd"/>
      <w:r>
        <w:t xml:space="preserve"> findet man z. B.</w:t>
      </w:r>
    </w:p>
    <w:p w14:paraId="0592C3BF" w14:textId="77777777" w:rsidR="00591FB4" w:rsidRPr="00271C2A" w:rsidRDefault="00591FB4">
      <w:pPr>
        <w:pStyle w:val="Funotentext"/>
        <w:numPr>
          <w:ilvl w:val="0"/>
          <w:numId w:val="31"/>
        </w:numPr>
        <w:ind w:left="567"/>
        <w:rPr>
          <w:lang w:val="en-US"/>
        </w:rPr>
      </w:pPr>
      <w:r w:rsidRPr="00271C2A">
        <w:rPr>
          <w:lang w:val="en-US"/>
        </w:rPr>
        <w:t xml:space="preserve">NHS Business Services Authority: </w:t>
      </w:r>
      <w:proofErr w:type="spellStart"/>
      <w:r w:rsidRPr="00271C2A">
        <w:rPr>
          <w:lang w:val="en-US"/>
        </w:rPr>
        <w:t>Pseudonymisation</w:t>
      </w:r>
      <w:proofErr w:type="spellEnd"/>
      <w:r w:rsidRPr="00271C2A">
        <w:rPr>
          <w:lang w:val="en-US"/>
        </w:rPr>
        <w:t xml:space="preserve"> and </w:t>
      </w:r>
      <w:proofErr w:type="spellStart"/>
      <w:r w:rsidRPr="00271C2A">
        <w:rPr>
          <w:lang w:val="en-US"/>
        </w:rPr>
        <w:t>anonymisation</w:t>
      </w:r>
      <w:proofErr w:type="spellEnd"/>
      <w:r w:rsidRPr="00271C2A">
        <w:rPr>
          <w:lang w:val="en-US"/>
        </w:rPr>
        <w:t xml:space="preserve"> of data .policy. [Online, </w:t>
      </w:r>
      <w:proofErr w:type="spellStart"/>
      <w:r w:rsidRPr="00271C2A">
        <w:rPr>
          <w:lang w:val="en-US"/>
        </w:rPr>
        <w:t>zitiert</w:t>
      </w:r>
      <w:proofErr w:type="spellEnd"/>
      <w:r w:rsidRPr="00271C2A">
        <w:rPr>
          <w:lang w:val="en-US"/>
        </w:rPr>
        <w:t xml:space="preserve"> am 2018-06-20]; </w:t>
      </w:r>
      <w:proofErr w:type="spellStart"/>
      <w:r w:rsidRPr="00271C2A">
        <w:rPr>
          <w:lang w:val="en-US"/>
        </w:rPr>
        <w:t>Verfügbar</w:t>
      </w:r>
      <w:proofErr w:type="spellEnd"/>
      <w:r w:rsidRPr="00271C2A">
        <w:rPr>
          <w:lang w:val="en-US"/>
        </w:rPr>
        <w:t xml:space="preserve"> </w:t>
      </w:r>
      <w:proofErr w:type="spellStart"/>
      <w:r w:rsidRPr="00271C2A">
        <w:rPr>
          <w:lang w:val="en-US"/>
        </w:rPr>
        <w:t>unter</w:t>
      </w:r>
      <w:proofErr w:type="spellEnd"/>
      <w:r w:rsidRPr="00271C2A">
        <w:rPr>
          <w:lang w:val="en-US"/>
        </w:rPr>
        <w:t xml:space="preserve"> </w:t>
      </w:r>
      <w:hyperlink r:id="rId19" w:history="1">
        <w:r w:rsidRPr="00271C2A">
          <w:rPr>
            <w:rStyle w:val="Hyperlink"/>
            <w:lang w:val="en-US"/>
          </w:rPr>
          <w:t>https://www.nhsbsa.nhs.uk/sites/default/files/2017-05/anonymisation-of-data-policy.pdf</w:t>
        </w:r>
      </w:hyperlink>
    </w:p>
    <w:p w14:paraId="6A6C1CD3" w14:textId="77777777" w:rsidR="00591FB4" w:rsidRDefault="00591FB4">
      <w:pPr>
        <w:pStyle w:val="Funotentext"/>
        <w:numPr>
          <w:ilvl w:val="0"/>
          <w:numId w:val="31"/>
        </w:numPr>
      </w:pPr>
      <w:r w:rsidRPr="00271C2A">
        <w:rPr>
          <w:lang w:val="en-US"/>
        </w:rPr>
        <w:t xml:space="preserve">Mayo Clinic: De-identification and Re-identification of Protected Health Information. </w:t>
      </w:r>
      <w:r>
        <w:t xml:space="preserve">[Online, zitiert am 2018-06-20]; Verfügbar unter </w:t>
      </w:r>
      <w:hyperlink r:id="rId20" w:history="1">
        <w:r>
          <w:rPr>
            <w:rStyle w:val="Hyperlink"/>
          </w:rPr>
          <w:t>https://www.mayoclinic.org/documents/deidentification-jax-pdf/doc-20079518</w:t>
        </w:r>
      </w:hyperlink>
    </w:p>
    <w:p w14:paraId="73A78E4E" w14:textId="021C1942" w:rsidR="00591FB4" w:rsidRDefault="00591FB4" w:rsidP="00271C2A">
      <w:pPr>
        <w:pStyle w:val="Funotentext"/>
        <w:numPr>
          <w:ilvl w:val="0"/>
          <w:numId w:val="31"/>
        </w:numPr>
      </w:pPr>
      <w:r w:rsidRPr="00271C2A">
        <w:rPr>
          <w:lang w:val="en-US"/>
        </w:rPr>
        <w:t xml:space="preserve">Sanofi: Clinical Trial Data Sharing Data De-Identification Guidelines. </w:t>
      </w:r>
      <w:r>
        <w:t xml:space="preserve">[Online, zitiert am 2018-06-20]; Verfügbar unter </w:t>
      </w:r>
      <w:hyperlink r:id="rId21" w:history="1">
        <w:r w:rsidRPr="007931E9">
          <w:rPr>
            <w:rStyle w:val="Hyperlink"/>
          </w:rPr>
          <w:t>https://www.clinicalstudydatarequest.com/Documents/Sanofi-DeIdentification-Guide.pdf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C111" w14:textId="77777777" w:rsidR="00591FB4" w:rsidRDefault="00591F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CF43" w14:textId="77777777" w:rsidR="00591FB4" w:rsidRDefault="00591F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6A92" w14:textId="77777777" w:rsidR="00591FB4" w:rsidRDefault="00591FB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EBC1" w14:textId="77777777" w:rsidR="00591FB4" w:rsidRDefault="00591F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5FE"/>
    <w:multiLevelType w:val="hybridMultilevel"/>
    <w:tmpl w:val="A6C8F21E"/>
    <w:lvl w:ilvl="0" w:tplc="E79E1B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526EC"/>
    <w:multiLevelType w:val="hybridMultilevel"/>
    <w:tmpl w:val="E794A26C"/>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977DE0"/>
    <w:multiLevelType w:val="hybridMultilevel"/>
    <w:tmpl w:val="C5E2221C"/>
    <w:lvl w:ilvl="0" w:tplc="04070017">
      <w:start w:val="1"/>
      <w:numFmt w:val="lowerLetter"/>
      <w:lvlText w:val="%1)"/>
      <w:lvlJc w:val="left"/>
      <w:pPr>
        <w:ind w:left="720" w:hanging="360"/>
      </w:pPr>
    </w:lvl>
    <w:lvl w:ilvl="1" w:tplc="354272C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AE16E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09B635A6"/>
    <w:multiLevelType w:val="hybridMultilevel"/>
    <w:tmpl w:val="C5E0AF5A"/>
    <w:lvl w:ilvl="0" w:tplc="B242190A">
      <w:start w:val="1"/>
      <w:numFmt w:val="bullet"/>
      <w:lvlText w:val="→"/>
      <w:lvlJc w:val="left"/>
      <w:pPr>
        <w:ind w:left="720" w:hanging="360"/>
      </w:pPr>
      <w:rPr>
        <w:rFonts w:ascii="Calibri" w:hAnsi="Calibri"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2162AF"/>
    <w:multiLevelType w:val="hybridMultilevel"/>
    <w:tmpl w:val="61D0EDD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6548A4"/>
    <w:multiLevelType w:val="hybridMultilevel"/>
    <w:tmpl w:val="22A68C06"/>
    <w:lvl w:ilvl="0" w:tplc="53400D9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3D2442"/>
    <w:multiLevelType w:val="hybridMultilevel"/>
    <w:tmpl w:val="884C471E"/>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33EF06F7"/>
    <w:multiLevelType w:val="hybridMultilevel"/>
    <w:tmpl w:val="CAA0DC4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36CC6405"/>
    <w:multiLevelType w:val="hybridMultilevel"/>
    <w:tmpl w:val="D8746F98"/>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C369C2"/>
    <w:multiLevelType w:val="hybridMultilevel"/>
    <w:tmpl w:val="FE7A3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33303F"/>
    <w:multiLevelType w:val="hybridMultilevel"/>
    <w:tmpl w:val="30AA796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1B1D2F"/>
    <w:multiLevelType w:val="hybridMultilevel"/>
    <w:tmpl w:val="A242473E"/>
    <w:lvl w:ilvl="0" w:tplc="78EC9A0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2B0154E"/>
    <w:multiLevelType w:val="hybridMultilevel"/>
    <w:tmpl w:val="1E96D0BE"/>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42D2C5F"/>
    <w:multiLevelType w:val="hybridMultilevel"/>
    <w:tmpl w:val="0E64650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3406FA"/>
    <w:multiLevelType w:val="hybridMultilevel"/>
    <w:tmpl w:val="B752332E"/>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7">
    <w:nsid w:val="49267112"/>
    <w:multiLevelType w:val="hybridMultilevel"/>
    <w:tmpl w:val="5B2873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9D74D5"/>
    <w:multiLevelType w:val="hybridMultilevel"/>
    <w:tmpl w:val="1E6C7C00"/>
    <w:lvl w:ilvl="0" w:tplc="D186B018">
      <w:start w:val="8"/>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DE33016"/>
    <w:multiLevelType w:val="hybridMultilevel"/>
    <w:tmpl w:val="2D461EF0"/>
    <w:lvl w:ilvl="0" w:tplc="DD269EE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E1F2E8D"/>
    <w:multiLevelType w:val="hybridMultilevel"/>
    <w:tmpl w:val="08DE88B6"/>
    <w:lvl w:ilvl="0" w:tplc="78EC9A06">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1">
    <w:nsid w:val="52A66C02"/>
    <w:multiLevelType w:val="hybridMultilevel"/>
    <w:tmpl w:val="71D6B884"/>
    <w:lvl w:ilvl="0" w:tplc="A48AF548">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48029E"/>
    <w:multiLevelType w:val="hybridMultilevel"/>
    <w:tmpl w:val="28BC02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7403F13"/>
    <w:multiLevelType w:val="hybridMultilevel"/>
    <w:tmpl w:val="5A4460CE"/>
    <w:lvl w:ilvl="0" w:tplc="B79453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D52426D"/>
    <w:multiLevelType w:val="hybridMultilevel"/>
    <w:tmpl w:val="494C69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8151F3E"/>
    <w:multiLevelType w:val="hybridMultilevel"/>
    <w:tmpl w:val="B6EA9D00"/>
    <w:lvl w:ilvl="0" w:tplc="AE3E33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144669"/>
    <w:multiLevelType w:val="hybridMultilevel"/>
    <w:tmpl w:val="D8C81270"/>
    <w:lvl w:ilvl="0" w:tplc="354272CE">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6572E3"/>
    <w:multiLevelType w:val="hybridMultilevel"/>
    <w:tmpl w:val="59C0905C"/>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D04532E"/>
    <w:multiLevelType w:val="hybridMultilevel"/>
    <w:tmpl w:val="AA7E395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352EEA"/>
    <w:multiLevelType w:val="hybridMultilevel"/>
    <w:tmpl w:val="C4267C96"/>
    <w:lvl w:ilvl="0" w:tplc="2F80B7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6"/>
  </w:num>
  <w:num w:numId="4">
    <w:abstractNumId w:val="1"/>
  </w:num>
  <w:num w:numId="5">
    <w:abstractNumId w:val="14"/>
  </w:num>
  <w:num w:numId="6">
    <w:abstractNumId w:val="29"/>
  </w:num>
  <w:num w:numId="7">
    <w:abstractNumId w:val="13"/>
  </w:num>
  <w:num w:numId="8">
    <w:abstractNumId w:val="6"/>
  </w:num>
  <w:num w:numId="9">
    <w:abstractNumId w:val="25"/>
  </w:num>
  <w:num w:numId="10">
    <w:abstractNumId w:val="3"/>
  </w:num>
  <w:num w:numId="11">
    <w:abstractNumId w:val="4"/>
  </w:num>
  <w:num w:numId="12">
    <w:abstractNumId w:val="20"/>
  </w:num>
  <w:num w:numId="13">
    <w:abstractNumId w:val="10"/>
  </w:num>
  <w:num w:numId="14">
    <w:abstractNumId w:val="16"/>
  </w:num>
  <w:num w:numId="15">
    <w:abstractNumId w:val="24"/>
  </w:num>
  <w:num w:numId="16">
    <w:abstractNumId w:val="11"/>
  </w:num>
  <w:num w:numId="17">
    <w:abstractNumId w:val="12"/>
  </w:num>
  <w:num w:numId="18">
    <w:abstractNumId w:val="27"/>
  </w:num>
  <w:num w:numId="19">
    <w:abstractNumId w:val="22"/>
  </w:num>
  <w:num w:numId="20">
    <w:abstractNumId w:val="5"/>
  </w:num>
  <w:num w:numId="21">
    <w:abstractNumId w:val="21"/>
  </w:num>
  <w:num w:numId="22">
    <w:abstractNumId w:val="2"/>
  </w:num>
  <w:num w:numId="23">
    <w:abstractNumId w:val="9"/>
  </w:num>
  <w:num w:numId="24">
    <w:abstractNumId w:val="23"/>
  </w:num>
  <w:num w:numId="25">
    <w:abstractNumId w:val="17"/>
  </w:num>
  <w:num w:numId="26">
    <w:abstractNumId w:val="7"/>
  </w:num>
  <w:num w:numId="27">
    <w:abstractNumId w:val="8"/>
  </w:num>
  <w:num w:numId="28">
    <w:abstractNumId w:val="3"/>
  </w:num>
  <w:num w:numId="29">
    <w:abstractNumId w:val="28"/>
  </w:num>
  <w:num w:numId="30">
    <w:abstractNumId w:val="0"/>
  </w:num>
  <w:num w:numId="31">
    <w:abstractNumId w:val="18"/>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w15:presenceInfo w15:providerId="None" w15:userId="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B2"/>
    <w:rsid w:val="00072F0D"/>
    <w:rsid w:val="00094D50"/>
    <w:rsid w:val="00156DBB"/>
    <w:rsid w:val="001D0CB2"/>
    <w:rsid w:val="00271C2A"/>
    <w:rsid w:val="00320BB2"/>
    <w:rsid w:val="00321331"/>
    <w:rsid w:val="00346198"/>
    <w:rsid w:val="004C4805"/>
    <w:rsid w:val="0058768E"/>
    <w:rsid w:val="00591FB4"/>
    <w:rsid w:val="005A1D33"/>
    <w:rsid w:val="006260A0"/>
    <w:rsid w:val="006526E1"/>
    <w:rsid w:val="006C6D59"/>
    <w:rsid w:val="006E3F9C"/>
    <w:rsid w:val="00872B3C"/>
    <w:rsid w:val="00922D5B"/>
    <w:rsid w:val="009D0F6D"/>
    <w:rsid w:val="00A225E1"/>
    <w:rsid w:val="00A6785F"/>
    <w:rsid w:val="00B0176C"/>
    <w:rsid w:val="00B32225"/>
    <w:rsid w:val="00BC2D64"/>
    <w:rsid w:val="00BD2891"/>
    <w:rsid w:val="00C01946"/>
    <w:rsid w:val="00C620FF"/>
    <w:rsid w:val="00D2342B"/>
    <w:rsid w:val="00D32346"/>
    <w:rsid w:val="00D55911"/>
    <w:rsid w:val="00D8219B"/>
    <w:rsid w:val="00D8462D"/>
    <w:rsid w:val="00D9492B"/>
    <w:rsid w:val="00E27FE2"/>
    <w:rsid w:val="00ED4359"/>
    <w:rsid w:val="00F215B1"/>
    <w:rsid w:val="00FA641E"/>
    <w:rsid w:val="00FD7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8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line="240" w:lineRule="auto"/>
    </w:pPr>
    <w:rPr>
      <w:b/>
      <w:bCs/>
      <w:color w:val="4F81BD" w:themeColor="accent1"/>
      <w:sz w:val="18"/>
      <w:szCs w:val="18"/>
    </w:rPr>
  </w:style>
  <w:style w:type="paragraph" w:styleId="Verzeichnis1">
    <w:name w:val="toc 1"/>
    <w:basedOn w:val="Standard"/>
    <w:next w:val="Standard"/>
    <w:autoRedefine/>
    <w:uiPriority w:val="39"/>
    <w:unhideWhenUsed/>
    <w:pPr>
      <w:spacing w:before="120" w:after="0"/>
      <w:jc w:val="left"/>
    </w:pPr>
    <w:rPr>
      <w:b/>
      <w:bCs/>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after="0"/>
      <w:ind w:left="440"/>
      <w:jc w:val="left"/>
    </w:pPr>
    <w:rPr>
      <w:sz w:val="20"/>
      <w:szCs w:val="20"/>
    </w:rPr>
  </w:style>
  <w:style w:type="paragraph" w:styleId="Verzeichnis4">
    <w:name w:val="toc 4"/>
    <w:basedOn w:val="Standard"/>
    <w:next w:val="Standard"/>
    <w:autoRedefine/>
    <w:uiPriority w:val="39"/>
    <w:unhideWhenUsed/>
    <w:pPr>
      <w:spacing w:after="0"/>
      <w:ind w:left="660"/>
      <w:jc w:val="left"/>
    </w:pPr>
    <w:rPr>
      <w:sz w:val="20"/>
      <w:szCs w:val="20"/>
    </w:rPr>
  </w:style>
  <w:style w:type="paragraph" w:styleId="Verzeichnis5">
    <w:name w:val="toc 5"/>
    <w:basedOn w:val="Standard"/>
    <w:next w:val="Standard"/>
    <w:autoRedefine/>
    <w:uiPriority w:val="39"/>
    <w:unhideWhenUsed/>
    <w:pPr>
      <w:spacing w:after="0"/>
      <w:ind w:left="880"/>
      <w:jc w:val="left"/>
    </w:pPr>
    <w:rPr>
      <w:sz w:val="20"/>
      <w:szCs w:val="20"/>
    </w:rPr>
  </w:style>
  <w:style w:type="paragraph" w:styleId="Verzeichnis6">
    <w:name w:val="toc 6"/>
    <w:basedOn w:val="Standard"/>
    <w:next w:val="Standard"/>
    <w:autoRedefine/>
    <w:uiPriority w:val="39"/>
    <w:unhideWhenUsed/>
    <w:pPr>
      <w:spacing w:after="0"/>
      <w:ind w:left="1100"/>
      <w:jc w:val="left"/>
    </w:pPr>
    <w:rPr>
      <w:sz w:val="20"/>
      <w:szCs w:val="20"/>
    </w:rPr>
  </w:style>
  <w:style w:type="paragraph" w:styleId="Verzeichnis7">
    <w:name w:val="toc 7"/>
    <w:basedOn w:val="Standard"/>
    <w:next w:val="Standard"/>
    <w:autoRedefine/>
    <w:uiPriority w:val="39"/>
    <w:unhideWhenUsed/>
    <w:pPr>
      <w:spacing w:after="0"/>
      <w:ind w:left="1320"/>
      <w:jc w:val="left"/>
    </w:pPr>
    <w:rPr>
      <w:sz w:val="20"/>
      <w:szCs w:val="20"/>
    </w:rPr>
  </w:style>
  <w:style w:type="paragraph" w:styleId="Verzeichnis8">
    <w:name w:val="toc 8"/>
    <w:basedOn w:val="Standard"/>
    <w:next w:val="Standard"/>
    <w:autoRedefine/>
    <w:uiPriority w:val="39"/>
    <w:unhideWhenUsed/>
    <w:pPr>
      <w:spacing w:after="0"/>
      <w:ind w:left="1540"/>
      <w:jc w:val="left"/>
    </w:pPr>
    <w:rPr>
      <w:sz w:val="20"/>
      <w:szCs w:val="20"/>
    </w:rPr>
  </w:style>
  <w:style w:type="paragraph" w:styleId="Verzeichnis9">
    <w:name w:val="toc 9"/>
    <w:basedOn w:val="Standard"/>
    <w:next w:val="Standard"/>
    <w:autoRedefine/>
    <w:uiPriority w:val="39"/>
    <w:unhideWhenUsed/>
    <w:pPr>
      <w:spacing w:after="0"/>
      <w:ind w:left="1760"/>
      <w:jc w:val="left"/>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Abbildungsverzeichnis">
    <w:name w:val="table of figures"/>
    <w:basedOn w:val="Standard"/>
    <w:next w:val="Standard"/>
    <w:uiPriority w:val="99"/>
    <w:unhideWhenUsed/>
    <w:pPr>
      <w:spacing w:after="0"/>
      <w:jc w:val="left"/>
    </w:pPr>
    <w:rPr>
      <w:iCs/>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spacing w:after="80"/>
    </w:pPr>
    <w:rPr>
      <w:rFonts w:asciiTheme="majorHAnsi" w:eastAsiaTheme="majorEastAsia" w:hAnsiTheme="majorHAnsi" w:cstheme="majorBidi"/>
      <w:b/>
      <w:iCs/>
      <w:color w:val="4F81BD" w:themeColor="accent1"/>
      <w:spacing w:val="15"/>
      <w:sz w:val="28"/>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28"/>
      <w:szCs w:val="24"/>
    </w:rPr>
  </w:style>
  <w:style w:type="paragraph" w:styleId="Funotentext">
    <w:name w:val="footnote text"/>
    <w:aliases w:val="MWV-Fußnotentext"/>
    <w:basedOn w:val="Standard"/>
    <w:link w:val="FunotentextZchn"/>
    <w:uiPriority w:val="99"/>
    <w:unhideWhenUsed/>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Pr>
      <w:sz w:val="20"/>
      <w:szCs w:val="20"/>
    </w:rPr>
  </w:style>
  <w:style w:type="character" w:styleId="Funotenzeichen">
    <w:name w:val="footnote reference"/>
    <w:basedOn w:val="Absatz-Standardschriftart"/>
    <w:uiPriority w:val="99"/>
    <w:unhideWhenUsed/>
    <w:rPr>
      <w:vertAlign w:val="superscript"/>
    </w:rPr>
  </w:style>
  <w:style w:type="character" w:customStyle="1" w:styleId="ListenabsatzZchn">
    <w:name w:val="Listenabsatz Zchn"/>
    <w:aliases w:val="Nummerierung Zchn,Listenabsatz1 Zchn"/>
    <w:basedOn w:val="Absatz-Standardschriftart"/>
    <w:link w:val="Listenabsatz"/>
    <w:uiPriority w:val="34"/>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line="240" w:lineRule="auto"/>
    </w:pPr>
    <w:rPr>
      <w:b/>
      <w:bCs/>
      <w:color w:val="4F81BD" w:themeColor="accent1"/>
      <w:sz w:val="18"/>
      <w:szCs w:val="18"/>
    </w:rPr>
  </w:style>
  <w:style w:type="paragraph" w:styleId="Verzeichnis1">
    <w:name w:val="toc 1"/>
    <w:basedOn w:val="Standard"/>
    <w:next w:val="Standard"/>
    <w:autoRedefine/>
    <w:uiPriority w:val="39"/>
    <w:unhideWhenUsed/>
    <w:pPr>
      <w:spacing w:before="120" w:after="0"/>
      <w:jc w:val="left"/>
    </w:pPr>
    <w:rPr>
      <w:b/>
      <w:bCs/>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after="0"/>
      <w:ind w:left="440"/>
      <w:jc w:val="left"/>
    </w:pPr>
    <w:rPr>
      <w:sz w:val="20"/>
      <w:szCs w:val="20"/>
    </w:rPr>
  </w:style>
  <w:style w:type="paragraph" w:styleId="Verzeichnis4">
    <w:name w:val="toc 4"/>
    <w:basedOn w:val="Standard"/>
    <w:next w:val="Standard"/>
    <w:autoRedefine/>
    <w:uiPriority w:val="39"/>
    <w:unhideWhenUsed/>
    <w:pPr>
      <w:spacing w:after="0"/>
      <w:ind w:left="660"/>
      <w:jc w:val="left"/>
    </w:pPr>
    <w:rPr>
      <w:sz w:val="20"/>
      <w:szCs w:val="20"/>
    </w:rPr>
  </w:style>
  <w:style w:type="paragraph" w:styleId="Verzeichnis5">
    <w:name w:val="toc 5"/>
    <w:basedOn w:val="Standard"/>
    <w:next w:val="Standard"/>
    <w:autoRedefine/>
    <w:uiPriority w:val="39"/>
    <w:unhideWhenUsed/>
    <w:pPr>
      <w:spacing w:after="0"/>
      <w:ind w:left="880"/>
      <w:jc w:val="left"/>
    </w:pPr>
    <w:rPr>
      <w:sz w:val="20"/>
      <w:szCs w:val="20"/>
    </w:rPr>
  </w:style>
  <w:style w:type="paragraph" w:styleId="Verzeichnis6">
    <w:name w:val="toc 6"/>
    <w:basedOn w:val="Standard"/>
    <w:next w:val="Standard"/>
    <w:autoRedefine/>
    <w:uiPriority w:val="39"/>
    <w:unhideWhenUsed/>
    <w:pPr>
      <w:spacing w:after="0"/>
      <w:ind w:left="1100"/>
      <w:jc w:val="left"/>
    </w:pPr>
    <w:rPr>
      <w:sz w:val="20"/>
      <w:szCs w:val="20"/>
    </w:rPr>
  </w:style>
  <w:style w:type="paragraph" w:styleId="Verzeichnis7">
    <w:name w:val="toc 7"/>
    <w:basedOn w:val="Standard"/>
    <w:next w:val="Standard"/>
    <w:autoRedefine/>
    <w:uiPriority w:val="39"/>
    <w:unhideWhenUsed/>
    <w:pPr>
      <w:spacing w:after="0"/>
      <w:ind w:left="1320"/>
      <w:jc w:val="left"/>
    </w:pPr>
    <w:rPr>
      <w:sz w:val="20"/>
      <w:szCs w:val="20"/>
    </w:rPr>
  </w:style>
  <w:style w:type="paragraph" w:styleId="Verzeichnis8">
    <w:name w:val="toc 8"/>
    <w:basedOn w:val="Standard"/>
    <w:next w:val="Standard"/>
    <w:autoRedefine/>
    <w:uiPriority w:val="39"/>
    <w:unhideWhenUsed/>
    <w:pPr>
      <w:spacing w:after="0"/>
      <w:ind w:left="1540"/>
      <w:jc w:val="left"/>
    </w:pPr>
    <w:rPr>
      <w:sz w:val="20"/>
      <w:szCs w:val="20"/>
    </w:rPr>
  </w:style>
  <w:style w:type="paragraph" w:styleId="Verzeichnis9">
    <w:name w:val="toc 9"/>
    <w:basedOn w:val="Standard"/>
    <w:next w:val="Standard"/>
    <w:autoRedefine/>
    <w:uiPriority w:val="39"/>
    <w:unhideWhenUsed/>
    <w:pPr>
      <w:spacing w:after="0"/>
      <w:ind w:left="1760"/>
      <w:jc w:val="left"/>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Abbildungsverzeichnis">
    <w:name w:val="table of figures"/>
    <w:basedOn w:val="Standard"/>
    <w:next w:val="Standard"/>
    <w:uiPriority w:val="99"/>
    <w:unhideWhenUsed/>
    <w:pPr>
      <w:spacing w:after="0"/>
      <w:jc w:val="left"/>
    </w:pPr>
    <w:rPr>
      <w:iCs/>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spacing w:after="80"/>
    </w:pPr>
    <w:rPr>
      <w:rFonts w:asciiTheme="majorHAnsi" w:eastAsiaTheme="majorEastAsia" w:hAnsiTheme="majorHAnsi" w:cstheme="majorBidi"/>
      <w:b/>
      <w:iCs/>
      <w:color w:val="4F81BD" w:themeColor="accent1"/>
      <w:spacing w:val="15"/>
      <w:sz w:val="28"/>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28"/>
      <w:szCs w:val="24"/>
    </w:rPr>
  </w:style>
  <w:style w:type="paragraph" w:styleId="Funotentext">
    <w:name w:val="footnote text"/>
    <w:aliases w:val="MWV-Fußnotentext"/>
    <w:basedOn w:val="Standard"/>
    <w:link w:val="FunotentextZchn"/>
    <w:uiPriority w:val="99"/>
    <w:unhideWhenUsed/>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Pr>
      <w:sz w:val="20"/>
      <w:szCs w:val="20"/>
    </w:rPr>
  </w:style>
  <w:style w:type="character" w:styleId="Funotenzeichen">
    <w:name w:val="footnote reference"/>
    <w:basedOn w:val="Absatz-Standardschriftart"/>
    <w:uiPriority w:val="99"/>
    <w:unhideWhenUsed/>
    <w:rPr>
      <w:vertAlign w:val="superscript"/>
    </w:rPr>
  </w:style>
  <w:style w:type="character" w:customStyle="1" w:styleId="ListenabsatzZchn">
    <w:name w:val="Listenabsatz Zchn"/>
    <w:aliases w:val="Nummerierung Zchn,Listenabsatz1 Zchn"/>
    <w:basedOn w:val="Absatz-Standardschriftart"/>
    <w:link w:val="Listenabsatz"/>
    <w:uiPriority w:val="34"/>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287">
      <w:bodyDiv w:val="1"/>
      <w:marLeft w:val="0"/>
      <w:marRight w:val="0"/>
      <w:marTop w:val="0"/>
      <w:marBottom w:val="0"/>
      <w:divBdr>
        <w:top w:val="none" w:sz="0" w:space="0" w:color="auto"/>
        <w:left w:val="none" w:sz="0" w:space="0" w:color="auto"/>
        <w:bottom w:val="none" w:sz="0" w:space="0" w:color="auto"/>
        <w:right w:val="none" w:sz="0" w:space="0" w:color="auto"/>
      </w:divBdr>
    </w:div>
    <w:div w:id="181824994">
      <w:bodyDiv w:val="1"/>
      <w:marLeft w:val="0"/>
      <w:marRight w:val="0"/>
      <w:marTop w:val="0"/>
      <w:marBottom w:val="0"/>
      <w:divBdr>
        <w:top w:val="none" w:sz="0" w:space="0" w:color="auto"/>
        <w:left w:val="none" w:sz="0" w:space="0" w:color="auto"/>
        <w:bottom w:val="none" w:sz="0" w:space="0" w:color="auto"/>
        <w:right w:val="none" w:sz="0" w:space="0" w:color="auto"/>
      </w:divBdr>
    </w:div>
    <w:div w:id="237255725">
      <w:bodyDiv w:val="1"/>
      <w:marLeft w:val="0"/>
      <w:marRight w:val="0"/>
      <w:marTop w:val="0"/>
      <w:marBottom w:val="0"/>
      <w:divBdr>
        <w:top w:val="none" w:sz="0" w:space="0" w:color="auto"/>
        <w:left w:val="none" w:sz="0" w:space="0" w:color="auto"/>
        <w:bottom w:val="none" w:sz="0" w:space="0" w:color="auto"/>
        <w:right w:val="none" w:sz="0" w:space="0" w:color="auto"/>
      </w:divBdr>
    </w:div>
    <w:div w:id="260725235">
      <w:bodyDiv w:val="1"/>
      <w:marLeft w:val="0"/>
      <w:marRight w:val="0"/>
      <w:marTop w:val="0"/>
      <w:marBottom w:val="0"/>
      <w:divBdr>
        <w:top w:val="none" w:sz="0" w:space="0" w:color="auto"/>
        <w:left w:val="none" w:sz="0" w:space="0" w:color="auto"/>
        <w:bottom w:val="none" w:sz="0" w:space="0" w:color="auto"/>
        <w:right w:val="none" w:sz="0" w:space="0" w:color="auto"/>
      </w:divBdr>
    </w:div>
    <w:div w:id="273288762">
      <w:bodyDiv w:val="1"/>
      <w:marLeft w:val="0"/>
      <w:marRight w:val="0"/>
      <w:marTop w:val="0"/>
      <w:marBottom w:val="0"/>
      <w:divBdr>
        <w:top w:val="none" w:sz="0" w:space="0" w:color="auto"/>
        <w:left w:val="none" w:sz="0" w:space="0" w:color="auto"/>
        <w:bottom w:val="none" w:sz="0" w:space="0" w:color="auto"/>
        <w:right w:val="none" w:sz="0" w:space="0" w:color="auto"/>
      </w:divBdr>
    </w:div>
    <w:div w:id="451484511">
      <w:bodyDiv w:val="1"/>
      <w:marLeft w:val="0"/>
      <w:marRight w:val="0"/>
      <w:marTop w:val="0"/>
      <w:marBottom w:val="0"/>
      <w:divBdr>
        <w:top w:val="none" w:sz="0" w:space="0" w:color="auto"/>
        <w:left w:val="none" w:sz="0" w:space="0" w:color="auto"/>
        <w:bottom w:val="none" w:sz="0" w:space="0" w:color="auto"/>
        <w:right w:val="none" w:sz="0" w:space="0" w:color="auto"/>
      </w:divBdr>
    </w:div>
    <w:div w:id="845555178">
      <w:bodyDiv w:val="1"/>
      <w:marLeft w:val="0"/>
      <w:marRight w:val="0"/>
      <w:marTop w:val="0"/>
      <w:marBottom w:val="0"/>
      <w:divBdr>
        <w:top w:val="none" w:sz="0" w:space="0" w:color="auto"/>
        <w:left w:val="none" w:sz="0" w:space="0" w:color="auto"/>
        <w:bottom w:val="none" w:sz="0" w:space="0" w:color="auto"/>
        <w:right w:val="none" w:sz="0" w:space="0" w:color="auto"/>
      </w:divBdr>
    </w:div>
    <w:div w:id="856846792">
      <w:bodyDiv w:val="1"/>
      <w:marLeft w:val="0"/>
      <w:marRight w:val="0"/>
      <w:marTop w:val="0"/>
      <w:marBottom w:val="0"/>
      <w:divBdr>
        <w:top w:val="none" w:sz="0" w:space="0" w:color="auto"/>
        <w:left w:val="none" w:sz="0" w:space="0" w:color="auto"/>
        <w:bottom w:val="none" w:sz="0" w:space="0" w:color="auto"/>
        <w:right w:val="none" w:sz="0" w:space="0" w:color="auto"/>
      </w:divBdr>
      <w:divsChild>
        <w:div w:id="443765154">
          <w:marLeft w:val="1166"/>
          <w:marRight w:val="0"/>
          <w:marTop w:val="86"/>
          <w:marBottom w:val="0"/>
          <w:divBdr>
            <w:top w:val="none" w:sz="0" w:space="0" w:color="auto"/>
            <w:left w:val="none" w:sz="0" w:space="0" w:color="auto"/>
            <w:bottom w:val="none" w:sz="0" w:space="0" w:color="auto"/>
            <w:right w:val="none" w:sz="0" w:space="0" w:color="auto"/>
          </w:divBdr>
        </w:div>
        <w:div w:id="1802261374">
          <w:marLeft w:val="1166"/>
          <w:marRight w:val="0"/>
          <w:marTop w:val="86"/>
          <w:marBottom w:val="0"/>
          <w:divBdr>
            <w:top w:val="none" w:sz="0" w:space="0" w:color="auto"/>
            <w:left w:val="none" w:sz="0" w:space="0" w:color="auto"/>
            <w:bottom w:val="none" w:sz="0" w:space="0" w:color="auto"/>
            <w:right w:val="none" w:sz="0" w:space="0" w:color="auto"/>
          </w:divBdr>
        </w:div>
        <w:div w:id="1300959351">
          <w:marLeft w:val="1166"/>
          <w:marRight w:val="0"/>
          <w:marTop w:val="86"/>
          <w:marBottom w:val="0"/>
          <w:divBdr>
            <w:top w:val="none" w:sz="0" w:space="0" w:color="auto"/>
            <w:left w:val="none" w:sz="0" w:space="0" w:color="auto"/>
            <w:bottom w:val="none" w:sz="0" w:space="0" w:color="auto"/>
            <w:right w:val="none" w:sz="0" w:space="0" w:color="auto"/>
          </w:divBdr>
        </w:div>
      </w:divsChild>
    </w:div>
    <w:div w:id="871764614">
      <w:bodyDiv w:val="1"/>
      <w:marLeft w:val="0"/>
      <w:marRight w:val="0"/>
      <w:marTop w:val="0"/>
      <w:marBottom w:val="0"/>
      <w:divBdr>
        <w:top w:val="none" w:sz="0" w:space="0" w:color="auto"/>
        <w:left w:val="none" w:sz="0" w:space="0" w:color="auto"/>
        <w:bottom w:val="none" w:sz="0" w:space="0" w:color="auto"/>
        <w:right w:val="none" w:sz="0" w:space="0" w:color="auto"/>
      </w:divBdr>
    </w:div>
    <w:div w:id="1086607132">
      <w:bodyDiv w:val="1"/>
      <w:marLeft w:val="0"/>
      <w:marRight w:val="0"/>
      <w:marTop w:val="0"/>
      <w:marBottom w:val="0"/>
      <w:divBdr>
        <w:top w:val="none" w:sz="0" w:space="0" w:color="auto"/>
        <w:left w:val="none" w:sz="0" w:space="0" w:color="auto"/>
        <w:bottom w:val="none" w:sz="0" w:space="0" w:color="auto"/>
        <w:right w:val="none" w:sz="0" w:space="0" w:color="auto"/>
      </w:divBdr>
    </w:div>
    <w:div w:id="1129594456">
      <w:bodyDiv w:val="1"/>
      <w:marLeft w:val="0"/>
      <w:marRight w:val="0"/>
      <w:marTop w:val="0"/>
      <w:marBottom w:val="0"/>
      <w:divBdr>
        <w:top w:val="none" w:sz="0" w:space="0" w:color="auto"/>
        <w:left w:val="none" w:sz="0" w:space="0" w:color="auto"/>
        <w:bottom w:val="none" w:sz="0" w:space="0" w:color="auto"/>
        <w:right w:val="none" w:sz="0" w:space="0" w:color="auto"/>
      </w:divBdr>
    </w:div>
    <w:div w:id="1323394253">
      <w:bodyDiv w:val="1"/>
      <w:marLeft w:val="0"/>
      <w:marRight w:val="0"/>
      <w:marTop w:val="0"/>
      <w:marBottom w:val="0"/>
      <w:divBdr>
        <w:top w:val="none" w:sz="0" w:space="0" w:color="auto"/>
        <w:left w:val="none" w:sz="0" w:space="0" w:color="auto"/>
        <w:bottom w:val="none" w:sz="0" w:space="0" w:color="auto"/>
        <w:right w:val="none" w:sz="0" w:space="0" w:color="auto"/>
      </w:divBdr>
    </w:div>
    <w:div w:id="1614824928">
      <w:bodyDiv w:val="1"/>
      <w:marLeft w:val="0"/>
      <w:marRight w:val="0"/>
      <w:marTop w:val="0"/>
      <w:marBottom w:val="0"/>
      <w:divBdr>
        <w:top w:val="none" w:sz="0" w:space="0" w:color="auto"/>
        <w:left w:val="none" w:sz="0" w:space="0" w:color="auto"/>
        <w:bottom w:val="none" w:sz="0" w:space="0" w:color="auto"/>
        <w:right w:val="none" w:sz="0" w:space="0" w:color="auto"/>
      </w:divBdr>
    </w:div>
    <w:div w:id="1641038210">
      <w:bodyDiv w:val="1"/>
      <w:marLeft w:val="0"/>
      <w:marRight w:val="0"/>
      <w:marTop w:val="0"/>
      <w:marBottom w:val="0"/>
      <w:divBdr>
        <w:top w:val="none" w:sz="0" w:space="0" w:color="auto"/>
        <w:left w:val="none" w:sz="0" w:space="0" w:color="auto"/>
        <w:bottom w:val="none" w:sz="0" w:space="0" w:color="auto"/>
        <w:right w:val="none" w:sz="0" w:space="0" w:color="auto"/>
      </w:divBdr>
    </w:div>
    <w:div w:id="197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nvlpubs.nist.gov/nistpubs/ir/2015/NIST.IR.8053.pdf" TargetMode="External"/><Relationship Id="rId26" Type="http://schemas.openxmlformats.org/officeDocument/2006/relationships/hyperlink" Target="https://www.toolpool-gesundheitsforschung.de/produkte/?term=anonymisieru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he.net/uploadedFiles/Documents/ITI/IHE_ITI_Handbook_De-Identification-Mapping_Rev1.1_2014-06-06.xlsx" TargetMode="External"/><Relationship Id="rId34" Type="http://schemas.openxmlformats.org/officeDocument/2006/relationships/hyperlink" Target="http://dx.doi.org/10.1016/j.ijmedinf.2016.09.00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tp://medical.nema.org/medical/dicom/final/sup142_ft.pdf" TargetMode="External"/><Relationship Id="rId25" Type="http://schemas.openxmlformats.org/officeDocument/2006/relationships/hyperlink" Target="https://www.destatis.de/DE/Publikationen/StatistikWissenschaft/Band18_MethodenGeheimhaltung.html" TargetMode="External"/><Relationship Id="rId33" Type="http://schemas.openxmlformats.org/officeDocument/2006/relationships/hyperlink" Target="https://www.sciencedirect.com/science/article/pii/S153204641730222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he.net/uploadedFiles/Documents/ITI/IHE_ITI_WP_Analysis-of-DeID-Algorithms-for-FP-Data_Elements.pdf" TargetMode="External"/><Relationship Id="rId29" Type="http://schemas.openxmlformats.org/officeDocument/2006/relationships/hyperlink" Target="http://dx.doi.org/10.1016/j.jbi.2015.05.022"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destatis.de/DE/Publikationen/StatistikWissenschaft/Band16_AnonymisierungEinzeldaten.html" TargetMode="External"/><Relationship Id="rId32" Type="http://schemas.openxmlformats.org/officeDocument/2006/relationships/hyperlink" Target="https://www.ncbi.nlm.nih.gov/pmc/articles/PMC4988860/pdf/nihms807198.pdf" TargetMode="External"/><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destatis.de/DE/Publikationen/StatistikWissenschaft/Band4_AnonymisierungMikrodaten.html" TargetMode="External"/><Relationship Id="rId28" Type="http://schemas.openxmlformats.org/officeDocument/2006/relationships/hyperlink" Target="https://www.hhs.gov/hipaa/for-professionals/privacy/special-topics/de-identification/index.html" TargetMode="External"/><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yperlink" Target="http://doku.iab.de/fdz/reporte/2012/MR_06-12.pdf" TargetMode="External"/><Relationship Id="rId31" Type="http://schemas.openxmlformats.org/officeDocument/2006/relationships/hyperlink" Target="http://dx.doi.org/10.1016/j.jbi.2014.01.00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ftp://ftp.ihe.net/Quality/2009_2010_YR_3/Planning/White%20papers%20yr%203/Pseudonymisation-WP.doc" TargetMode="External"/><Relationship Id="rId27" Type="http://schemas.openxmlformats.org/officeDocument/2006/relationships/hyperlink" Target="https://www.toolpool-gesundheitsforschung.de/produkte/?term=pseudonymisierung" TargetMode="External"/><Relationship Id="rId30" Type="http://schemas.openxmlformats.org/officeDocument/2006/relationships/hyperlink" Target="https://www.ncbi.nlm.nih.gov/pmc/articles/PMC3229505/" TargetMode="External"/><Relationship Id="rId35" Type="http://schemas.openxmlformats.org/officeDocument/2006/relationships/hyperlink" Target="https://www.ncbi.nlm.nih.gov/pmc/articles/PMC2526997/pdf/1472-6947-8-3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da.brandenburg.de/sixcms/detail.php/bb1.c.272605.de?_aria=ds" TargetMode="External"/><Relationship Id="rId13" Type="http://schemas.openxmlformats.org/officeDocument/2006/relationships/hyperlink" Target="https://www.gpo.gov/fdsys/search/pagedetails.action?granuleId=CRPT-104hrpt736&amp;packageId=CRPT-104hrpt736" TargetMode="External"/><Relationship Id="rId18" Type="http://schemas.openxmlformats.org/officeDocument/2006/relationships/hyperlink" Target="https://www.beuth.de/de/norm/din-en-iso-25237/258588981" TargetMode="External"/><Relationship Id="rId3" Type="http://schemas.openxmlformats.org/officeDocument/2006/relationships/hyperlink" Target="http://ds-gvo.gesundheitsdatenschutz.org/html/forschung.php" TargetMode="External"/><Relationship Id="rId21" Type="http://schemas.openxmlformats.org/officeDocument/2006/relationships/hyperlink" Target="https://www.clinicalstudydatarequest.com/Documents/Sanofi-DeIdentification-Guide.pdf" TargetMode="External"/><Relationship Id="rId7" Type="http://schemas.openxmlformats.org/officeDocument/2006/relationships/hyperlink" Target="http://ds-gvo.gesundheitsdatenschutz.org/html/dsfa.php" TargetMode="External"/><Relationship Id="rId12" Type="http://schemas.openxmlformats.org/officeDocument/2006/relationships/hyperlink" Target="https://www.ncbi.nlm.nih.gov/pmc/articles/PMC5110051/" TargetMode="External"/><Relationship Id="rId17" Type="http://schemas.openxmlformats.org/officeDocument/2006/relationships/hyperlink" Target="https://www.ldi.nrw.de/mainmenu_Aktuelles/submenu_EU-Datenschutzreform/Inhalt/EU-Datenschutzreform/KP_18_Risiko.pdf" TargetMode="External"/><Relationship Id="rId2" Type="http://schemas.openxmlformats.org/officeDocument/2006/relationships/hyperlink" Target="http://ds-gvo.gesundheitsdatenschutz.org/html/einwilligung.php" TargetMode="External"/><Relationship Id="rId16" Type="http://schemas.openxmlformats.org/officeDocument/2006/relationships/hyperlink" Target="http://doku.iab.de/fdz/reporte/2012/MR_06-12.pdf" TargetMode="External"/><Relationship Id="rId20" Type="http://schemas.openxmlformats.org/officeDocument/2006/relationships/hyperlink" Target="https://www.mayoclinic.org/documents/deidentification-jax-pdf/doc-20079518" TargetMode="External"/><Relationship Id="rId1" Type="http://schemas.openxmlformats.org/officeDocument/2006/relationships/hyperlink" Target="http://ec.europa.eu/justice/article-29/documentation/opinion-recommendation/files/2007/wp136_en.pdf" TargetMode="External"/><Relationship Id="rId6" Type="http://schemas.openxmlformats.org/officeDocument/2006/relationships/hyperlink" Target="http://ds-gvo.gesundheitsdatenschutz.org/html/dsfa_liste_aufsichtsbehoerden.php" TargetMode="External"/><Relationship Id="rId11" Type="http://schemas.openxmlformats.org/officeDocument/2006/relationships/hyperlink" Target="https://www.ncbi.nlm.nih.gov/pmc/articles/PMC3229505/" TargetMode="External"/><Relationship Id="rId5" Type="http://schemas.openxmlformats.org/officeDocument/2006/relationships/hyperlink" Target="http://ds-gvo.gesundheitsdatenschutz.org/html/privacy_design_default.php" TargetMode="External"/><Relationship Id="rId15" Type="http://schemas.openxmlformats.org/officeDocument/2006/relationships/hyperlink" Target="http://www.hipaasurvivalguide.com/hipaa-regulations/164-514.php" TargetMode="External"/><Relationship Id="rId10" Type="http://schemas.openxmlformats.org/officeDocument/2006/relationships/hyperlink" Target="http://genomemedicine.com/content/3/4/25" TargetMode="External"/><Relationship Id="rId19" Type="http://schemas.openxmlformats.org/officeDocument/2006/relationships/hyperlink" Target="https://www.nhsbsa.nhs.uk/sites/default/files/2017-05/anonymisation-of-data-policy.pdf" TargetMode="External"/><Relationship Id="rId4" Type="http://schemas.openxmlformats.org/officeDocument/2006/relationships/hyperlink" Target="http://ds-gvo.gesundheitsdatenschutz.org/html/forschung.php" TargetMode="External"/><Relationship Id="rId9" Type="http://schemas.openxmlformats.org/officeDocument/2006/relationships/hyperlink" Target="http://www.bfdi.bund.de/SharedDocs/Publikationen/Entschliessungssammlung/IntDSK/IntDSK2005-MontreuxErklaerungDSInEinerGlobalisiertenWelt.pdf?__blob=publicationFile" TargetMode="External"/><Relationship Id="rId14" Type="http://schemas.openxmlformats.org/officeDocument/2006/relationships/hyperlink" Target="https://www.hhs.gov/hipaa/for-professionals/privacy/laws-regulations/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64E3-6F72-4CF5-9260-F1049B3D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10559</Words>
  <Characters>73388</Characters>
  <Application>Microsoft Office Word</Application>
  <DocSecurity>0</DocSecurity>
  <Lines>2213</Lines>
  <Paragraphs>1388</Paragraphs>
  <ScaleCrop>false</ScaleCrop>
  <HeadingPairs>
    <vt:vector size="2" baseType="variant">
      <vt:variant>
        <vt:lpstr>Titel</vt:lpstr>
      </vt:variant>
      <vt:variant>
        <vt:i4>1</vt:i4>
      </vt:variant>
    </vt:vector>
  </HeadingPairs>
  <TitlesOfParts>
    <vt:vector size="1" baseType="lpstr">
      <vt:lpstr>Arbeitshilfe zur Pseudonymisierung/Anonymisierung</vt:lpstr>
    </vt:vector>
  </TitlesOfParts>
  <Manager>Dr. Bernd Schütze</Manager>
  <Company> Deutsche Gesellschaft für Medizinische Informatik, Biometrie und Epidemiologie (GMDS) e.V. </Company>
  <LinksUpToDate>false</LinksUpToDate>
  <CharactersWithSpaces>82548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zur Pseudonymisierung/Anonymisierung</dc:title>
  <dc:subject>Datenschutz-Grundverordnung</dc:subject>
  <dc:creator>GMDS Arbeitsgruppe "Datenschutz und IT-Sicherheit im Gesundheitswesen" (DIG)</dc:creator>
  <cp:keywords>DS-GVO, Sicherheit Verarbeitung, Anonymisierung, Pseudonymisierung</cp:keywords>
  <cp:lastModifiedBy>Bernd Schütze</cp:lastModifiedBy>
  <cp:revision>12</cp:revision>
  <dcterms:created xsi:type="dcterms:W3CDTF">2018-06-23T06:24:00Z</dcterms:created>
  <dcterms:modified xsi:type="dcterms:W3CDTF">2018-06-29T08:39:00Z</dcterms:modified>
</cp:coreProperties>
</file>