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35" w:rsidRDefault="00721135" w:rsidP="00721135">
      <w:pPr>
        <w:pStyle w:val="Titel"/>
      </w:pPr>
      <w:r>
        <w:t>Datenschutz-Folgenabschätzung</w:t>
      </w:r>
      <w:r>
        <w:br/>
        <w:t>gemäß Art. 35 DS-GVO</w:t>
      </w:r>
    </w:p>
    <w:p w:rsidR="00721135" w:rsidRDefault="00721135" w:rsidP="00721135">
      <w:pPr>
        <w:pStyle w:val="berschrift1"/>
      </w:pPr>
      <w:bookmarkStart w:id="0" w:name="_Toc509569931"/>
      <w:r>
        <w:rPr>
          <w:rFonts w:eastAsia="Times New Roman"/>
        </w:rPr>
        <w:t>Beschreibung des Verarbeitungsverfahrens</w:t>
      </w:r>
      <w:bookmarkEnd w:id="0"/>
    </w:p>
    <w:p w:rsidR="00721135" w:rsidRDefault="00721135" w:rsidP="00721135">
      <w:pPr>
        <w:pStyle w:val="berschrift2"/>
      </w:pPr>
      <w:bookmarkStart w:id="1" w:name="_Toc509569932"/>
      <w:r>
        <w:t>Darstellung der Einhaltung der grundlegenden datenschutzrechtlichen Prinzipien</w:t>
      </w:r>
      <w:bookmarkEnd w:id="1"/>
    </w:p>
    <w:p w:rsidR="00721135" w:rsidRDefault="00721135" w:rsidP="00721135">
      <w:pPr>
        <w:pStyle w:val="berschrift1"/>
      </w:pPr>
      <w:bookmarkStart w:id="2" w:name="_Toc509569933"/>
      <w:r>
        <w:rPr>
          <w:rFonts w:eastAsia="Times New Roman"/>
        </w:rPr>
        <w:t>Welche Daten werden verarbeitet?</w:t>
      </w:r>
      <w:bookmarkEnd w:id="2"/>
    </w:p>
    <w:p w:rsidR="00721135" w:rsidRDefault="00721135" w:rsidP="00721135">
      <w:pPr>
        <w:pStyle w:val="berschrift2"/>
        <w:rPr>
          <w:rFonts w:eastAsia="Times New Roman"/>
        </w:rPr>
      </w:pPr>
      <w:bookmarkStart w:id="3" w:name="_Ref488389351"/>
      <w:bookmarkStart w:id="4" w:name="_Toc509569934"/>
      <w:r>
        <w:rPr>
          <w:rFonts w:eastAsia="Times New Roman"/>
        </w:rPr>
        <w:t>Welche Datenarten werden verarbeitet?</w:t>
      </w:r>
      <w:bookmarkEnd w:id="3"/>
      <w:bookmarkEnd w:id="4"/>
    </w:p>
    <w:p w:rsidR="00721135" w:rsidRDefault="00721135" w:rsidP="00721135">
      <w:pPr>
        <w:pStyle w:val="berschrift2"/>
      </w:pPr>
      <w:bookmarkStart w:id="5" w:name="_Toc509569935"/>
      <w:r>
        <w:rPr>
          <w:rFonts w:eastAsia="Times New Roman"/>
        </w:rPr>
        <w:t>Wo werden die Daten erhoben?</w:t>
      </w:r>
      <w:bookmarkEnd w:id="5"/>
    </w:p>
    <w:p w:rsidR="00721135" w:rsidRDefault="00721135" w:rsidP="00721135">
      <w:pPr>
        <w:pStyle w:val="berschrift2"/>
      </w:pPr>
      <w:bookmarkStart w:id="6" w:name="_Toc509569936"/>
      <w:r>
        <w:t>Darstellung der potenziellen Risiken</w:t>
      </w:r>
      <w:bookmarkEnd w:id="6"/>
    </w:p>
    <w:p w:rsidR="00721135" w:rsidRDefault="00721135" w:rsidP="00721135">
      <w:pPr>
        <w:pStyle w:val="berschrift1"/>
      </w:pPr>
      <w:bookmarkStart w:id="7" w:name="_Toc509569937"/>
      <w:r>
        <w:rPr>
          <w:rFonts w:eastAsia="Times New Roman"/>
        </w:rPr>
        <w:t>Zwecke und Mittel der Verarbeitung</w:t>
      </w:r>
      <w:bookmarkEnd w:id="7"/>
    </w:p>
    <w:p w:rsidR="00721135" w:rsidRDefault="00721135" w:rsidP="00721135">
      <w:pPr>
        <w:pStyle w:val="berschrift2"/>
      </w:pPr>
      <w:bookmarkStart w:id="8" w:name="_Toc509569938"/>
      <w:r>
        <w:rPr>
          <w:rFonts w:eastAsia="Times New Roman"/>
        </w:rPr>
        <w:t>Begründung, warum die Informationen verarbeitet werden müssen</w:t>
      </w:r>
      <w:bookmarkEnd w:id="8"/>
    </w:p>
    <w:p w:rsidR="00721135" w:rsidRDefault="00721135" w:rsidP="00721135">
      <w:pPr>
        <w:pStyle w:val="berschrift2"/>
      </w:pPr>
      <w:bookmarkStart w:id="9" w:name="_Toc509569939"/>
      <w:r>
        <w:t>Darstellung der Notwendigkeit und der Verhältnismäßigkeit der Verarbeitung</w:t>
      </w:r>
      <w:bookmarkEnd w:id="9"/>
    </w:p>
    <w:p w:rsidR="00721135" w:rsidRDefault="00721135" w:rsidP="00721135">
      <w:pPr>
        <w:pStyle w:val="berschrift2"/>
      </w:pPr>
      <w:bookmarkStart w:id="10" w:name="_Toc509569940"/>
      <w:r>
        <w:t>Darstellung der Erlaubnistatbestände</w:t>
      </w:r>
      <w:bookmarkEnd w:id="10"/>
    </w:p>
    <w:p w:rsidR="00721135" w:rsidRDefault="00721135" w:rsidP="00721135">
      <w:pPr>
        <w:pStyle w:val="berschrift2"/>
      </w:pPr>
      <w:bookmarkStart w:id="11" w:name="_Toc509569941"/>
      <w:r>
        <w:t>Darstellung der Speicherdauer</w:t>
      </w:r>
      <w:bookmarkEnd w:id="11"/>
    </w:p>
    <w:p w:rsidR="00721135" w:rsidRDefault="00721135" w:rsidP="00721135">
      <w:pPr>
        <w:pStyle w:val="berschrift2"/>
      </w:pPr>
      <w:bookmarkStart w:id="12" w:name="_Toc509569942"/>
      <w:r>
        <w:t>Darstellung der potenziellen Risiken</w:t>
      </w:r>
      <w:bookmarkEnd w:id="12"/>
    </w:p>
    <w:p w:rsidR="00721135" w:rsidRDefault="00721135" w:rsidP="00721135">
      <w:pPr>
        <w:pStyle w:val="berschrift1"/>
      </w:pPr>
      <w:bookmarkStart w:id="13" w:name="_Toc509569943"/>
      <w:r>
        <w:t>Weitergabe der Daten</w:t>
      </w:r>
      <w:bookmarkEnd w:id="13"/>
    </w:p>
    <w:p w:rsidR="00721135" w:rsidRDefault="00721135" w:rsidP="00721135">
      <w:pPr>
        <w:pStyle w:val="berschrift2"/>
      </w:pPr>
      <w:bookmarkStart w:id="14" w:name="_Toc509569944"/>
      <w:r>
        <w:t>Mit wem werden die Daten geteilt?</w:t>
      </w:r>
      <w:bookmarkEnd w:id="1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21135" w:rsidTr="000670DC">
        <w:tc>
          <w:tcPr>
            <w:tcW w:w="1842" w:type="dxa"/>
            <w:vMerge w:val="restart"/>
            <w:vAlign w:val="center"/>
          </w:tcPr>
          <w:p w:rsidR="00721135" w:rsidRDefault="00721135" w:rsidP="000670DC">
            <w:pPr>
              <w:jc w:val="center"/>
            </w:pPr>
            <w:r>
              <w:t>Empfänger</w:t>
            </w:r>
          </w:p>
        </w:tc>
        <w:tc>
          <w:tcPr>
            <w:tcW w:w="7370" w:type="dxa"/>
            <w:gridSpan w:val="4"/>
            <w:vAlign w:val="center"/>
          </w:tcPr>
          <w:p w:rsidR="00721135" w:rsidRDefault="00721135" w:rsidP="000670DC">
            <w:pPr>
              <w:jc w:val="center"/>
            </w:pPr>
            <w:r>
              <w:t>Art der Weitergabe</w:t>
            </w:r>
          </w:p>
        </w:tc>
      </w:tr>
      <w:tr w:rsidR="00721135" w:rsidTr="000670DC">
        <w:tc>
          <w:tcPr>
            <w:tcW w:w="1842" w:type="dxa"/>
            <w:vMerge/>
            <w:vAlign w:val="center"/>
          </w:tcPr>
          <w:p w:rsidR="00721135" w:rsidRDefault="00721135" w:rsidP="000670D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21135" w:rsidRDefault="00721135" w:rsidP="000670DC">
            <w:pPr>
              <w:jc w:val="center"/>
            </w:pPr>
            <w:r>
              <w:t>Fall-zu-Fall</w:t>
            </w:r>
          </w:p>
        </w:tc>
        <w:tc>
          <w:tcPr>
            <w:tcW w:w="1842" w:type="dxa"/>
            <w:vAlign w:val="center"/>
          </w:tcPr>
          <w:p w:rsidR="00721135" w:rsidRDefault="00721135" w:rsidP="000670DC">
            <w:pPr>
              <w:jc w:val="center"/>
            </w:pPr>
            <w:r>
              <w:t>Vollständige Übermittlung</w:t>
            </w:r>
          </w:p>
        </w:tc>
        <w:tc>
          <w:tcPr>
            <w:tcW w:w="1843" w:type="dxa"/>
            <w:vAlign w:val="center"/>
          </w:tcPr>
          <w:p w:rsidR="00721135" w:rsidRDefault="00721135" w:rsidP="000670DC">
            <w:pPr>
              <w:jc w:val="center"/>
            </w:pPr>
            <w:r>
              <w:t>Direkter Zugriff</w:t>
            </w:r>
          </w:p>
        </w:tc>
        <w:tc>
          <w:tcPr>
            <w:tcW w:w="1843" w:type="dxa"/>
            <w:vAlign w:val="center"/>
          </w:tcPr>
          <w:p w:rsidR="00721135" w:rsidRDefault="00721135" w:rsidP="000670DC">
            <w:pPr>
              <w:jc w:val="center"/>
            </w:pPr>
            <w:r>
              <w:t>Andere (spezifizieren)</w:t>
            </w:r>
          </w:p>
        </w:tc>
      </w:tr>
      <w:tr w:rsidR="00721135" w:rsidTr="000670DC">
        <w:tc>
          <w:tcPr>
            <w:tcW w:w="1842" w:type="dxa"/>
          </w:tcPr>
          <w:p w:rsidR="00721135" w:rsidRDefault="00721135" w:rsidP="000670DC">
            <w:r>
              <w:t>Innerhalb der Legaleinheit</w:t>
            </w:r>
          </w:p>
        </w:tc>
        <w:tc>
          <w:tcPr>
            <w:tcW w:w="1842" w:type="dxa"/>
          </w:tcPr>
          <w:p w:rsidR="00721135" w:rsidRDefault="00721135" w:rsidP="000670DC"/>
        </w:tc>
        <w:tc>
          <w:tcPr>
            <w:tcW w:w="1842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</w:tr>
      <w:tr w:rsidR="00721135" w:rsidTr="000670DC">
        <w:tc>
          <w:tcPr>
            <w:tcW w:w="1842" w:type="dxa"/>
          </w:tcPr>
          <w:p w:rsidR="00721135" w:rsidRDefault="00721135" w:rsidP="000670DC">
            <w:r>
              <w:t>Innerhalb des Konzerns</w:t>
            </w:r>
          </w:p>
        </w:tc>
        <w:tc>
          <w:tcPr>
            <w:tcW w:w="1842" w:type="dxa"/>
          </w:tcPr>
          <w:p w:rsidR="00721135" w:rsidRDefault="00721135" w:rsidP="000670DC"/>
        </w:tc>
        <w:tc>
          <w:tcPr>
            <w:tcW w:w="1842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</w:tr>
      <w:tr w:rsidR="00721135" w:rsidTr="000670DC">
        <w:tc>
          <w:tcPr>
            <w:tcW w:w="1842" w:type="dxa"/>
          </w:tcPr>
          <w:p w:rsidR="00721135" w:rsidRDefault="00721135" w:rsidP="000670DC">
            <w:r>
              <w:t>Staatliche Empfänger</w:t>
            </w:r>
            <w:r>
              <w:br/>
              <w:t>(spezifizieren)</w:t>
            </w:r>
          </w:p>
        </w:tc>
        <w:tc>
          <w:tcPr>
            <w:tcW w:w="1842" w:type="dxa"/>
          </w:tcPr>
          <w:p w:rsidR="00721135" w:rsidRDefault="00721135" w:rsidP="000670DC"/>
        </w:tc>
        <w:tc>
          <w:tcPr>
            <w:tcW w:w="1842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</w:tr>
      <w:tr w:rsidR="00721135" w:rsidTr="000670DC">
        <w:tc>
          <w:tcPr>
            <w:tcW w:w="1842" w:type="dxa"/>
          </w:tcPr>
          <w:p w:rsidR="00721135" w:rsidRDefault="00721135" w:rsidP="000670DC">
            <w:r>
              <w:t>Nicht-staatliche Empfänger</w:t>
            </w:r>
            <w:r>
              <w:br/>
            </w:r>
            <w:r>
              <w:lastRenderedPageBreak/>
              <w:t>(spezifizieren)</w:t>
            </w:r>
          </w:p>
        </w:tc>
        <w:tc>
          <w:tcPr>
            <w:tcW w:w="1842" w:type="dxa"/>
          </w:tcPr>
          <w:p w:rsidR="00721135" w:rsidRDefault="00721135" w:rsidP="000670DC"/>
        </w:tc>
        <w:tc>
          <w:tcPr>
            <w:tcW w:w="1842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  <w:tc>
          <w:tcPr>
            <w:tcW w:w="1843" w:type="dxa"/>
          </w:tcPr>
          <w:p w:rsidR="00721135" w:rsidRDefault="00721135" w:rsidP="000670DC"/>
        </w:tc>
      </w:tr>
    </w:tbl>
    <w:p w:rsidR="00721135" w:rsidRDefault="00721135" w:rsidP="00721135">
      <w:pPr>
        <w:pStyle w:val="berschrift2"/>
      </w:pPr>
      <w:bookmarkStart w:id="15" w:name="_Toc509569945"/>
      <w:r>
        <w:lastRenderedPageBreak/>
        <w:t>Darstellung der potenziellen Risiken</w:t>
      </w:r>
      <w:bookmarkEnd w:id="15"/>
    </w:p>
    <w:p w:rsidR="00721135" w:rsidRDefault="00721135" w:rsidP="00721135">
      <w:pPr>
        <w:pStyle w:val="berschrift1"/>
      </w:pPr>
      <w:bookmarkStart w:id="16" w:name="_Toc509569946"/>
      <w:r>
        <w:t>Wahrung der Betroffenenrechte</w:t>
      </w:r>
      <w:bookmarkEnd w:id="16"/>
    </w:p>
    <w:p w:rsidR="00721135" w:rsidRDefault="00721135" w:rsidP="00721135">
      <w:pPr>
        <w:pStyle w:val="berschrift2"/>
      </w:pPr>
      <w:bookmarkStart w:id="17" w:name="_Ref499914410"/>
      <w:bookmarkStart w:id="18" w:name="_Ref499914453"/>
      <w:bookmarkStart w:id="19" w:name="_Ref499914533"/>
      <w:bookmarkStart w:id="20" w:name="_Ref499914559"/>
      <w:bookmarkStart w:id="21" w:name="_Ref499914607"/>
      <w:bookmarkStart w:id="22" w:name="_Toc509569947"/>
      <w:r>
        <w:t>Information des Betroffenen</w:t>
      </w:r>
      <w:bookmarkEnd w:id="17"/>
      <w:bookmarkEnd w:id="18"/>
      <w:bookmarkEnd w:id="19"/>
      <w:bookmarkEnd w:id="20"/>
      <w:bookmarkEnd w:id="21"/>
      <w:bookmarkEnd w:id="22"/>
    </w:p>
    <w:p w:rsidR="00721135" w:rsidRDefault="00721135" w:rsidP="00721135">
      <w:pPr>
        <w:pStyle w:val="berschrift2"/>
      </w:pPr>
      <w:bookmarkStart w:id="23" w:name="_Toc509569952"/>
      <w:bookmarkStart w:id="24" w:name="_Toc509569951"/>
      <w:bookmarkStart w:id="25" w:name="_Toc509569950"/>
      <w:bookmarkStart w:id="26" w:name="_Toc509569949"/>
      <w:bookmarkStart w:id="27" w:name="_Toc509569948"/>
      <w:r>
        <w:t>Auskunftsrecht</w:t>
      </w:r>
      <w:bookmarkEnd w:id="27"/>
    </w:p>
    <w:p w:rsidR="00721135" w:rsidRDefault="00721135" w:rsidP="00721135">
      <w:pPr>
        <w:pStyle w:val="berschrift2"/>
      </w:pPr>
      <w:r>
        <w:t>Widerspruchsrecht</w:t>
      </w:r>
      <w:bookmarkEnd w:id="26"/>
    </w:p>
    <w:p w:rsidR="00721135" w:rsidRDefault="00721135" w:rsidP="00721135">
      <w:pPr>
        <w:pStyle w:val="berschrift2"/>
      </w:pPr>
      <w:r>
        <w:t>Recht auf Berichtigung und Vervollständigung</w:t>
      </w:r>
      <w:bookmarkEnd w:id="25"/>
    </w:p>
    <w:p w:rsidR="00721135" w:rsidRDefault="00721135" w:rsidP="00721135">
      <w:pPr>
        <w:pStyle w:val="berschrift2"/>
      </w:pPr>
      <w:r>
        <w:t>Recht auf Löschen („Vergessenwerden“)</w:t>
      </w:r>
      <w:bookmarkEnd w:id="24"/>
    </w:p>
    <w:p w:rsidR="00721135" w:rsidRDefault="00721135" w:rsidP="00721135">
      <w:pPr>
        <w:pStyle w:val="berschrift2"/>
      </w:pPr>
      <w:r>
        <w:t>Recht auf Einschränkung der Verarbeitung („Sperrung“)</w:t>
      </w:r>
      <w:bookmarkEnd w:id="23"/>
    </w:p>
    <w:p w:rsidR="00721135" w:rsidRDefault="00721135" w:rsidP="00721135">
      <w:pPr>
        <w:pStyle w:val="berschrift2"/>
      </w:pPr>
      <w:bookmarkStart w:id="28" w:name="_Toc509569954"/>
      <w:bookmarkStart w:id="29" w:name="_Toc509569953"/>
      <w:r>
        <w:t>Recht auf Datenübertragbarkeit</w:t>
      </w:r>
      <w:bookmarkEnd w:id="29"/>
    </w:p>
    <w:p w:rsidR="00721135" w:rsidRDefault="00721135" w:rsidP="00721135">
      <w:pPr>
        <w:pStyle w:val="berschrift1"/>
      </w:pPr>
      <w:r>
        <w:t>Gewährleistung der Sicherheit der Daten</w:t>
      </w:r>
      <w:bookmarkEnd w:id="28"/>
    </w:p>
    <w:p w:rsidR="00721135" w:rsidRDefault="00721135" w:rsidP="00721135">
      <w:pPr>
        <w:pStyle w:val="berschrift2"/>
      </w:pPr>
      <w:bookmarkStart w:id="30" w:name="_Toc509569955"/>
      <w:r>
        <w:t xml:space="preserve">Darstellung der Erbringung der Anforderungen aus Art. 32 DS-GVO </w:t>
      </w:r>
      <w:r w:rsidRPr="000D03FE">
        <w:t>„Sicherheit der Verarbeitung“</w:t>
      </w:r>
      <w:bookmarkEnd w:id="30"/>
    </w:p>
    <w:p w:rsidR="00721135" w:rsidRDefault="00721135" w:rsidP="00721135">
      <w:pPr>
        <w:pStyle w:val="berschrift4"/>
      </w:pPr>
      <w:r>
        <w:t>Pseudonymisierung personenbezogener Daten</w:t>
      </w:r>
    </w:p>
    <w:p w:rsidR="00721135" w:rsidRDefault="00721135" w:rsidP="00721135">
      <w:pPr>
        <w:pStyle w:val="berschrift4"/>
      </w:pPr>
      <w:r>
        <w:t>Verschlüsselung personenbezogener Daten</w:t>
      </w:r>
    </w:p>
    <w:p w:rsidR="00721135" w:rsidRDefault="00721135" w:rsidP="00721135">
      <w:pPr>
        <w:pStyle w:val="berschrift4"/>
      </w:pPr>
      <w:r>
        <w:t>Beschreibung des Verfahrens zur Gewährleistung der Verfügbarkeit der personenbezogenen Daten</w:t>
      </w:r>
    </w:p>
    <w:p w:rsidR="00721135" w:rsidRDefault="00721135" w:rsidP="00721135">
      <w:pPr>
        <w:pStyle w:val="berschrift4"/>
      </w:pPr>
      <w:bookmarkStart w:id="31" w:name="_Toc509569956"/>
      <w:r>
        <w:t>Beschreibung des Verfahrens zur Gewährleistung, den Zugang zu personenbezogenen Daten bei einem physischen oder technischen Zwischenfall rasch wiederherzustellen</w:t>
      </w:r>
    </w:p>
    <w:p w:rsidR="00721135" w:rsidRDefault="00721135" w:rsidP="00721135">
      <w:pPr>
        <w:pStyle w:val="berschrift4"/>
      </w:pPr>
      <w:r>
        <w:t>Beschreibung des Verfahrens zur regelmäßigen Überprüfung, Bewertung und Evaluierung der Wirksamkeit von technischen und organisatorischen Maßnahmen zur Gewährleistung der Sicherheit der Verarbeitung</w:t>
      </w:r>
    </w:p>
    <w:p w:rsidR="00721135" w:rsidRDefault="00721135" w:rsidP="00721135">
      <w:pPr>
        <w:pStyle w:val="berschrift1"/>
      </w:pPr>
      <w:r>
        <w:t>Darstellung der Auswirkungen der Sicherheitsmaßnahmen auf die Risiken, Restrisikobewertung</w:t>
      </w:r>
      <w:bookmarkEnd w:id="31"/>
    </w:p>
    <w:p w:rsidR="00721135" w:rsidRDefault="00721135" w:rsidP="00721135">
      <w:pPr>
        <w:pStyle w:val="berschrift1"/>
      </w:pPr>
      <w:bookmarkStart w:id="32" w:name="_Toc509569957"/>
      <w:r>
        <w:t>Fazit</w:t>
      </w:r>
      <w:bookmarkEnd w:id="32"/>
    </w:p>
    <w:p w:rsidR="00721135" w:rsidRDefault="00721135" w:rsidP="00721135">
      <w:pPr>
        <w:pStyle w:val="berschrift2"/>
      </w:pPr>
      <w:bookmarkStart w:id="33" w:name="_Toc509569958"/>
      <w:r>
        <w:t>Abschließende Bewertung</w:t>
      </w:r>
      <w:bookmarkEnd w:id="33"/>
    </w:p>
    <w:p w:rsidR="00721135" w:rsidRDefault="00721135" w:rsidP="00721135"/>
    <w:p w:rsidR="00721135" w:rsidRDefault="00721135" w:rsidP="00721135">
      <w:pPr>
        <w:pStyle w:val="berschrift2"/>
      </w:pPr>
      <w:bookmarkStart w:id="34" w:name="_Toc509569959"/>
      <w:bookmarkStart w:id="35" w:name="_GoBack"/>
      <w:bookmarkEnd w:id="35"/>
      <w:r>
        <w:lastRenderedPageBreak/>
        <w:t>Entscheidung bzgl. Information Aufsichtsbehörde</w:t>
      </w:r>
      <w:bookmarkEnd w:id="34"/>
    </w:p>
    <w:p w:rsidR="00721135" w:rsidRDefault="00721135" w:rsidP="00721135">
      <w:pPr>
        <w:spacing w:after="0"/>
      </w:pPr>
      <w:r>
        <w:t xml:space="preserve">Die Einbeziehung der Aufsichtsbehörde </w:t>
      </w:r>
    </w:p>
    <w:p w:rsidR="00721135" w:rsidRDefault="00721135" w:rsidP="00721135">
      <w:pPr>
        <w:spacing w:after="0"/>
      </w:pPr>
      <w:r>
        <w:tab/>
      </w:r>
      <w:r>
        <w:sym w:font="Wingdings" w:char="F06F"/>
      </w:r>
      <w:r>
        <w:tab/>
        <w:t>ist</w:t>
      </w:r>
      <w:r>
        <w:br/>
      </w:r>
      <w:r>
        <w:tab/>
      </w:r>
      <w:r>
        <w:sym w:font="Wingdings" w:char="F06F"/>
      </w:r>
      <w:r>
        <w:tab/>
        <w:t xml:space="preserve">ist nicht </w:t>
      </w:r>
    </w:p>
    <w:p w:rsidR="00721135" w:rsidRDefault="00721135" w:rsidP="00721135">
      <w:r>
        <w:t>notwendig, weil …</w:t>
      </w:r>
    </w:p>
    <w:p w:rsidR="00721135" w:rsidRPr="00721135" w:rsidRDefault="00721135" w:rsidP="00721135"/>
    <w:sectPr w:rsidR="00721135" w:rsidRPr="00721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10"/>
    <w:multiLevelType w:val="hybridMultilevel"/>
    <w:tmpl w:val="97A04E1E"/>
    <w:lvl w:ilvl="0" w:tplc="BA1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C6149864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1F0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6BCA6475"/>
    <w:multiLevelType w:val="hybridMultilevel"/>
    <w:tmpl w:val="459E4F4A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35"/>
    <w:rsid w:val="0034176F"/>
    <w:rsid w:val="007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1135"/>
    <w:pPr>
      <w:keepNext/>
      <w:keepLines/>
      <w:numPr>
        <w:numId w:val="1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135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1135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1135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1135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113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1135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1135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1135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2113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1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1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1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1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1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1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1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1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aliases w:val="Nummerierung,Listenabsatz1"/>
    <w:basedOn w:val="Standard"/>
    <w:link w:val="ListenabsatzZchn"/>
    <w:uiPriority w:val="34"/>
    <w:qFormat/>
    <w:rsid w:val="00721135"/>
    <w:pPr>
      <w:spacing w:before="40" w:after="80"/>
      <w:ind w:left="720"/>
      <w:contextualSpacing/>
    </w:pPr>
  </w:style>
  <w:style w:type="character" w:customStyle="1" w:styleId="ListenabsatzZchn">
    <w:name w:val="Listenabsatz Zchn"/>
    <w:aliases w:val="Nummerierung Zchn,Listenabsatz1 Zchn"/>
    <w:basedOn w:val="Absatz-Standardschriftart"/>
    <w:link w:val="Listenabsatz"/>
    <w:uiPriority w:val="34"/>
    <w:rsid w:val="00721135"/>
  </w:style>
  <w:style w:type="table" w:styleId="Tabellenraster">
    <w:name w:val="Table Grid"/>
    <w:basedOn w:val="NormaleTabelle"/>
    <w:uiPriority w:val="59"/>
    <w:rsid w:val="0072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1135"/>
    <w:pPr>
      <w:keepNext/>
      <w:keepLines/>
      <w:numPr>
        <w:numId w:val="1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135"/>
    <w:pPr>
      <w:keepNext/>
      <w:keepLines/>
      <w:numPr>
        <w:ilvl w:val="1"/>
        <w:numId w:val="1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1135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1135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1135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113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1135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1135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1135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2113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1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1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1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1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1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1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1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1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aliases w:val="Nummerierung,Listenabsatz1"/>
    <w:basedOn w:val="Standard"/>
    <w:link w:val="ListenabsatzZchn"/>
    <w:uiPriority w:val="34"/>
    <w:qFormat/>
    <w:rsid w:val="00721135"/>
    <w:pPr>
      <w:spacing w:before="40" w:after="80"/>
      <w:ind w:left="720"/>
      <w:contextualSpacing/>
    </w:pPr>
  </w:style>
  <w:style w:type="character" w:customStyle="1" w:styleId="ListenabsatzZchn">
    <w:name w:val="Listenabsatz Zchn"/>
    <w:aliases w:val="Nummerierung Zchn,Listenabsatz1 Zchn"/>
    <w:basedOn w:val="Absatz-Standardschriftart"/>
    <w:link w:val="Listenabsatz"/>
    <w:uiPriority w:val="34"/>
    <w:rsid w:val="00721135"/>
  </w:style>
  <w:style w:type="table" w:styleId="Tabellenraster">
    <w:name w:val="Table Grid"/>
    <w:basedOn w:val="NormaleTabelle"/>
    <w:uiPriority w:val="59"/>
    <w:rsid w:val="0072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Schütze</dc:creator>
  <cp:lastModifiedBy>Bernd Schütze</cp:lastModifiedBy>
  <cp:revision>1</cp:revision>
  <dcterms:created xsi:type="dcterms:W3CDTF">2018-05-11T16:07:00Z</dcterms:created>
  <dcterms:modified xsi:type="dcterms:W3CDTF">2018-05-11T16:11:00Z</dcterms:modified>
</cp:coreProperties>
</file>